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F8" w:rsidRPr="00A80D55" w:rsidRDefault="002820F8" w:rsidP="00A80D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Toc42093410"/>
      <w:r w:rsidRPr="00A80D55">
        <w:rPr>
          <w:rFonts w:ascii="Times New Roman" w:hAnsi="Times New Roman" w:cs="Times New Roman"/>
          <w:b/>
          <w:sz w:val="32"/>
          <w:szCs w:val="24"/>
        </w:rPr>
        <w:t>ФЕДЕРАЛЬНОЕ ЗАКОНОДАТЕЛЬСТВО</w:t>
      </w:r>
      <w:bookmarkEnd w:id="0"/>
    </w:p>
    <w:p w:rsidR="002E3905" w:rsidRPr="00A80D55" w:rsidRDefault="002E3905" w:rsidP="00A80D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5009"/>
        <w:gridCol w:w="10115"/>
      </w:tblGrid>
      <w:tr w:rsidR="00A80D55" w:rsidRPr="00A80D55" w:rsidTr="009F33BB">
        <w:trPr>
          <w:trHeight w:val="292"/>
        </w:trPr>
        <w:tc>
          <w:tcPr>
            <w:tcW w:w="15614" w:type="dxa"/>
            <w:gridSpan w:val="3"/>
            <w:shd w:val="clear" w:color="auto" w:fill="92D050"/>
          </w:tcPr>
          <w:p w:rsidR="002820F8" w:rsidRPr="00A80D55" w:rsidRDefault="002820F8" w:rsidP="00A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2093411"/>
            <w:r w:rsidRPr="00A80D5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ПРАВА</w:t>
            </w:r>
            <w:bookmarkEnd w:id="1"/>
          </w:p>
        </w:tc>
      </w:tr>
      <w:tr w:rsidR="00A80D55" w:rsidRPr="00A80D55" w:rsidTr="00A80D55">
        <w:trPr>
          <w:trHeight w:val="4275"/>
        </w:trPr>
        <w:tc>
          <w:tcPr>
            <w:tcW w:w="490" w:type="dxa"/>
            <w:shd w:val="clear" w:color="auto" w:fill="auto"/>
          </w:tcPr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«Гарант», 01 июня 2020 г. - Как региональные суды рассматривают административные иски против режимов "повышенной готовности с самоизоляцией".</w:t>
            </w:r>
          </w:p>
        </w:tc>
        <w:tc>
          <w:tcPr>
            <w:tcW w:w="10115" w:type="dxa"/>
            <w:shd w:val="clear" w:color="auto" w:fill="auto"/>
          </w:tcPr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С момента введения ограничительных мер в связи с пандемией КОВИД-19 в региональные суды было подано несколько десятков административных исковых заявлений об оспаривании соответствующих актов губернаторов. За почти два месяца всего пять региональных суда вынесли отказы в удовлетворении иска, но опубликовали тексты этих решений лишь Брянский облсуд, Мосгорсуд и Астраханский облсуд. Иркутский областной и городской суд Санкт-Петербурга не спешат с обнародованием своих "отказных" актов (суды должны публиковать свои решения в разумный срок, но не позднее одного месяца после дня их принятия в окончательной форме). Все остальные суды, похоже, предпочли тактику затягивания дела, – решения по существу либо не вынесены, либо иски возвращены заявителям. Определения об отказе в приеме /возвращении /оставлении без движения не публикуются, за исключением одного дела – Липецкий облсуд запросил у истца следующие данные, без которых нельзя по существу рассмотреть иск о законности введения ограничительных мер: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 в иске не указаны дата и место рождения истца. Нужно указать;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 в иске не указано, имеет ли истец высшее юридическое образование, и намерен ли он участвовать в деле лично. Нужно указать. И приложить копию диплома;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 в иске не указано, где и когда официально опубликован оспариваемый акт;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 в иске не указано, что спорный акт применялся по отношению к административному истцу. Нужно указать и приложить подтверждающие это обстоятельство документы.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А в Республике Коми суд и вовсе прекратил дело, указав, что спорный акт перестал затрагивать права и свободы истца. Правда, определение об этом пока тоже не опубликовано. Тексты исков также не находятся в свободном доступе, однако если верить прессе, набор аргументов у всех примерно одинаков – истцы указывают: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 на недопустимость ограничения прав и свобод региональным актом, а не федеральным законом,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 на недопустимость введения ограничений без введения режимов ЧС/ЧП,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 на несоразмерность введенных мер целям сдерживания распространения КОВИД-19,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 на нарушение процедур, предусмотренных Конвенцией о защите прав человека и основных свобод ETS № 005, в частности, если страна-участница Конвенции – при наступлении чрезвычайных обстоятельствах, угрожающих жизни нации, – принимает меры по ограничению прав и свобод, перечисленных в Конвенции, она должна проинформировать об этом Генерального секретаря Совета Европы и указать дату прекращения этих мер.</w:t>
            </w:r>
            <w:proofErr w:type="gramEnd"/>
          </w:p>
        </w:tc>
      </w:tr>
      <w:tr w:rsidR="00A80D55" w:rsidRPr="00A80D55" w:rsidTr="00A80D55">
        <w:trPr>
          <w:trHeight w:val="1131"/>
        </w:trPr>
        <w:tc>
          <w:tcPr>
            <w:tcW w:w="490" w:type="dxa"/>
            <w:shd w:val="clear" w:color="auto" w:fill="auto"/>
          </w:tcPr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Приказ МВД России от 24.03.2020 N 180 "О внесении изменений в Приказ МВД России от 30 июля 2019 г. N 514"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02.06.2020 № 58549</w:t>
            </w:r>
          </w:p>
        </w:tc>
        <w:tc>
          <w:tcPr>
            <w:tcW w:w="10115" w:type="dxa"/>
            <w:shd w:val="clear" w:color="auto" w:fill="auto"/>
          </w:tcPr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Внесены уточнения в административный регламент МВД России по осуществлению миграционного учета иностранных граждан и лиц без гражданства.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В частности, в новой редакции изложены форма заявления иностранного гражданина или лица без гражданства о регистрации по месту жительства и форма уведомления о прибытии иностранного гражданина или лица без гражданства в место пребывания.</w:t>
            </w:r>
          </w:p>
          <w:p w:rsidR="009246ED" w:rsidRPr="00A80D55" w:rsidRDefault="009246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Также скорректированы основания снятия иностранного гражданина с регистрации по месту жительства, регистрации по месту жительства, принятия решения о снятии иностранного гражданина с регистрации по месту жительства (во всех случаях включена отсылка на Федеральный закон от 25.07.2002 N 115-ФЗ "О правовом положении иностранных граждан в Российской Федерации").</w:t>
            </w:r>
          </w:p>
        </w:tc>
      </w:tr>
      <w:tr w:rsidR="00A80D55" w:rsidRPr="00A80D55" w:rsidTr="00A80D55">
        <w:trPr>
          <w:trHeight w:val="334"/>
        </w:trPr>
        <w:tc>
          <w:tcPr>
            <w:tcW w:w="15614" w:type="dxa"/>
            <w:gridSpan w:val="3"/>
            <w:shd w:val="clear" w:color="auto" w:fill="92D050"/>
          </w:tcPr>
          <w:p w:rsidR="006619F0" w:rsidRPr="00A80D55" w:rsidRDefault="006619F0" w:rsidP="00A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42093413"/>
            <w:r w:rsidRPr="00A80D5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ПРАВА (</w:t>
            </w:r>
            <w:r w:rsidR="00113D65" w:rsidRPr="00A80D55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охрану здоровья и медицинскую помощь</w:t>
            </w:r>
            <w:r w:rsidRPr="00A80D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2"/>
          </w:p>
        </w:tc>
      </w:tr>
      <w:tr w:rsidR="00A80D55" w:rsidRPr="00A80D55" w:rsidTr="00A80D55">
        <w:trPr>
          <w:trHeight w:val="2210"/>
        </w:trPr>
        <w:tc>
          <w:tcPr>
            <w:tcW w:w="490" w:type="dxa"/>
            <w:shd w:val="clear" w:color="auto" w:fill="auto"/>
          </w:tcPr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0115" w:type="dxa"/>
            <w:shd w:val="clear" w:color="auto" w:fill="auto"/>
          </w:tcPr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напоминает, что на фоне сохранения рисков распространения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активизировались различного рода мошенники, которые пользуются страхами потребителей.  Например, недобросовестные граждане и юридические лица предлагают на условиях предоплаты «уникальные» товары: особые фильтры, очистители воздуха, лекарства и т. п.  Для обмана потребителей используются разные новые аспекты возникшей ситуации: оплата якобы выписанного штрафа, обязательное проведение платного анализа или особого пропуска на передвижение, услуги по поиску работы.</w:t>
            </w:r>
          </w:p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мошенники пытаются проникнуть в квартиру с целью совершения кражи под новыми предлогами: визит врача, социального работника, сотрудника компании, проводящей санитарную обработку помещений и др. Также доверчивым пользователям предлагают перейти по опасным ссылкам и оставить свои персональные данные. 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 использовать официальные источники. Для граждан работает специальный портал, где размещены справочные материалы в сфере защиты прав потребителей.  Бесплатные консультации специалистов можно получить по номеру телефона «горячей линии» для потребителей финансовых услуг 8-800-100-29-26, также по телефону Единого консультационного центра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8 800 555 49 43.</w:t>
            </w:r>
          </w:p>
        </w:tc>
      </w:tr>
      <w:tr w:rsidR="00A80D55" w:rsidRPr="00A80D55" w:rsidTr="00A80D55">
        <w:trPr>
          <w:trHeight w:val="1380"/>
        </w:trPr>
        <w:tc>
          <w:tcPr>
            <w:tcW w:w="490" w:type="dxa"/>
            <w:shd w:val="clear" w:color="auto" w:fill="auto"/>
          </w:tcPr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мая 2020 г. N 789 "О внесении изменения в Правила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практики, а также выдачи заключений о соответствии производителя лекарственных средств указанным требованиям"</w:t>
            </w:r>
          </w:p>
        </w:tc>
        <w:tc>
          <w:tcPr>
            <w:tcW w:w="10115" w:type="dxa"/>
            <w:shd w:val="clear" w:color="auto" w:fill="auto"/>
          </w:tcPr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Правительство скорректировало правила инспектирования производителей лекарств на соответствие требованиям надлежащей производственной практики и выдачи соответствующих заключений.</w:t>
            </w:r>
          </w:p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На 12 месяцев продлено действие заключений, сроки которых истекают в период с 15 марта по 31 декабря 2020 г.</w:t>
            </w:r>
          </w:p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В случае ЧС или распространения опасного для окружающих заболевания, когда осмотр производственной площадки невозможен, предусмотрено проведение инспектирования площадки по документам, в том числе дистанционно.</w:t>
            </w:r>
          </w:p>
        </w:tc>
      </w:tr>
      <w:tr w:rsidR="00A80D55" w:rsidRPr="00A80D55" w:rsidTr="00A80D55">
        <w:trPr>
          <w:trHeight w:val="564"/>
        </w:trPr>
        <w:tc>
          <w:tcPr>
            <w:tcW w:w="490" w:type="dxa"/>
            <w:shd w:val="clear" w:color="auto" w:fill="auto"/>
          </w:tcPr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«Гарант», 02 июня 2020 г. - Пациенты с КОВИД-19 должны подписывать добровольное информированное согласие на применение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гидроксихлорохина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препаратов</w:t>
            </w:r>
          </w:p>
        </w:tc>
        <w:tc>
          <w:tcPr>
            <w:tcW w:w="10115" w:type="dxa"/>
            <w:shd w:val="clear" w:color="auto" w:fill="auto"/>
          </w:tcPr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которым назначаются препараты для терапии COVID-19, должны предварительно дать информированное согласие на применение этих лекарственных средств. Кроме того, подчеркнуло ведомство, по результатам мониторинга безопасности лекарственных препаратов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гидроксихлорохина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(ГХХ) в период пандемии COVID-19 в РФ не выявлено летальных исходов, связанных с нарушением ритма у пациентов на фоне приема ГХХ.</w:t>
            </w:r>
          </w:p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И хотя ВОЗ приостановила клинические испытания ГХХ в рамках программы "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Solidarity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" ввиду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кардиотоксичности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препарата, однако, по мнению ведомства, значительный массив данных указывает на обоснованность применения ГХХ при его назначении в определенных группах пациентов с COVID-19 в низких дозах, в меньшей степени ассоциированных с нарушениями сердечного ритма.</w:t>
            </w:r>
          </w:p>
        </w:tc>
      </w:tr>
      <w:tr w:rsidR="00A80D55" w:rsidRPr="00A80D55" w:rsidTr="00A80D55">
        <w:trPr>
          <w:trHeight w:val="564"/>
        </w:trPr>
        <w:tc>
          <w:tcPr>
            <w:tcW w:w="490" w:type="dxa"/>
            <w:shd w:val="clear" w:color="auto" w:fill="auto"/>
          </w:tcPr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Правительства РФ от 02.06.2020 "О решениях по итогам заседания президиума Координационного совета при Правительстве по борьбе с распространением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инфекции"</w:t>
            </w:r>
          </w:p>
        </w:tc>
        <w:tc>
          <w:tcPr>
            <w:tcW w:w="10115" w:type="dxa"/>
            <w:shd w:val="clear" w:color="auto" w:fill="auto"/>
          </w:tcPr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Принятые в период пандемии нормативные правовые акты (включая указы мэра Москвы) поручено проанализировать, в том числе на предмет соблюдения прав и интересов граждан.</w:t>
            </w:r>
          </w:p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очередного заседания президиума Координационного совета при Правительстве РФ по борьбе с распространением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приняты, в частности, следующие решения:</w:t>
            </w:r>
          </w:p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- приступить к изменению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в целях возобновления плановой работы медицинских организаций;</w:t>
            </w:r>
          </w:p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сохранение резерва специализированного коечного фонда, созданного для лечения больных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в федеральных и региональных медицинских организациях, на случай возобновления роста заболеваемости населения указанной инфекцией и проработать вопрос о необходимости формирования дополнительного коечного фонда на случай возникновения второй волны распространения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инфекции;</w:t>
            </w:r>
          </w:p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- проработать вопрос о распоряжении средствами индивидуальной защиты, приобретенными (произведенными) за счет средств, выделенных из резервного фонда Правительства РФ, и (или) привлеченных кредитных ресурсов, в том числе рассмотрев возможность их приобретения федеральными органами исполнительной власти, органами исполнительной власти субъектов РФ, безвозмездной передачи или передачи на хранение в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Росрезерв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8E5" w:rsidRPr="00A80D55" w:rsidRDefault="005A48E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проанализировать совместно с правительством Москвы и экспертным юридическим сообществом практику применения нормативных правовых актов (в том числе указов мэра Москвы), принятых в целях борьбы с распространением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Российской Федерации, обратив особое внимание на положения, в наибольшей степени затрагивающие права и интересы граждан.</w:t>
            </w:r>
          </w:p>
        </w:tc>
      </w:tr>
      <w:tr w:rsidR="00A80D55" w:rsidRPr="00A80D55" w:rsidTr="00A80D55">
        <w:trPr>
          <w:trHeight w:val="735"/>
        </w:trPr>
        <w:tc>
          <w:tcPr>
            <w:tcW w:w="490" w:type="dxa"/>
            <w:shd w:val="clear" w:color="auto" w:fill="auto"/>
          </w:tcPr>
          <w:p w:rsidR="00113D65" w:rsidRPr="00A80D55" w:rsidRDefault="00113D6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113D65" w:rsidRPr="00A80D55" w:rsidRDefault="00113D6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Минздрав РФ, 03 июня 2020 г. - Минздрав России утвердил 7 версию методических рекомендаций по лечению </w:t>
            </w:r>
            <w:r w:rsidRPr="00A8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COVID-19</w:t>
            </w:r>
          </w:p>
        </w:tc>
        <w:tc>
          <w:tcPr>
            <w:tcW w:w="10115" w:type="dxa"/>
            <w:shd w:val="clear" w:color="auto" w:fill="auto"/>
          </w:tcPr>
          <w:p w:rsidR="00113D65" w:rsidRPr="00A80D55" w:rsidRDefault="00113D6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Минздрав России утвердил 7 версию Временных методических рекомендаций «Профилактика, диагностика и лечение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 (</w:t>
            </w:r>
            <w:hyperlink r:id="rId7" w:history="1">
              <w:r w:rsidRPr="00A80D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https://cutt.ly/dyXLdIs</w:t>
              </w:r>
            </w:hyperlink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) . Документ разработан междисциплинарной рабочей группой ведущих экспертов на основе </w:t>
            </w:r>
            <w:r w:rsidRPr="00A8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и зарубежного клинического опыта. В новой версии методических рекомендаций значительно переработаны и расширены все разделы. Представлены новые схемы лечения с применением новейших лекарственных препаратов.</w:t>
            </w:r>
          </w:p>
          <w:p w:rsidR="00113D65" w:rsidRPr="00A80D55" w:rsidRDefault="00113D65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Рекомендации опубликованы на официальном сайте Минздрава России и направлены в регионы для использования в клинической практике.</w:t>
            </w:r>
          </w:p>
        </w:tc>
      </w:tr>
      <w:tr w:rsidR="00A80D55" w:rsidRPr="00A80D55" w:rsidTr="00A80D55">
        <w:trPr>
          <w:trHeight w:val="300"/>
        </w:trPr>
        <w:tc>
          <w:tcPr>
            <w:tcW w:w="15614" w:type="dxa"/>
            <w:gridSpan w:val="3"/>
            <w:shd w:val="clear" w:color="auto" w:fill="92D050"/>
          </w:tcPr>
          <w:p w:rsidR="007E7223" w:rsidRPr="00A80D55" w:rsidRDefault="007E7223" w:rsidP="00A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42093415"/>
            <w:r w:rsidRPr="00A80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ПРАВА (</w:t>
            </w:r>
            <w:r w:rsidR="00113D65" w:rsidRPr="00A80D55"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  <w:r w:rsidRPr="00A80D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3"/>
          </w:p>
        </w:tc>
      </w:tr>
      <w:tr w:rsidR="00A80D55" w:rsidRPr="00A80D55" w:rsidTr="00A80D55">
        <w:trPr>
          <w:trHeight w:val="922"/>
        </w:trPr>
        <w:tc>
          <w:tcPr>
            <w:tcW w:w="490" w:type="dxa"/>
            <w:shd w:val="clear" w:color="auto" w:fill="auto"/>
          </w:tcPr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&lt;Письмо&gt; Минтруда России от 28.05.2020 N 18-4/10/П-4994</w:t>
            </w:r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&lt;О Методическом инструментарии по осуществлению наставничества на государственной гражданской службе Российской Федерации (версия 2.0)&gt;</w:t>
            </w:r>
          </w:p>
        </w:tc>
        <w:tc>
          <w:tcPr>
            <w:tcW w:w="10115" w:type="dxa"/>
            <w:shd w:val="clear" w:color="auto" w:fill="auto"/>
          </w:tcPr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Минтрудом России представлен Методический инструментарий по осуществлению наставничества на государственной гражданской службе РФ (версия 2.0)</w:t>
            </w:r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инструментарий является обновленной с учетом изменений законодательства о гражданской службе версией действовавшего с 2013 года методического инструментария по применению наставничества на государственной гражданской службе и содержит предлагаемые к использованию в деятельности кадровой службы госоргана подходы к организации и технологии осуществления наставничества. Особое внимание уделено вопросам подбора наставников, их мотивации к выполнению задач наставничества, установлению взаимосвязи с технологиями оценки профессиональной служебной </w:t>
            </w: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как наставника, так и гражданского служащего, в отношении которого осуществляется наставничество.</w:t>
            </w:r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организация работы по внедрению в III квартале 2020 г. института наставничества в деятельность государственных органов с учетом текущей ситуации, связанной с распространением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</w:tr>
      <w:tr w:rsidR="00A80D55" w:rsidRPr="00A80D55" w:rsidTr="00A80D55">
        <w:trPr>
          <w:trHeight w:val="1415"/>
        </w:trPr>
        <w:tc>
          <w:tcPr>
            <w:tcW w:w="490" w:type="dxa"/>
            <w:shd w:val="clear" w:color="auto" w:fill="auto"/>
          </w:tcPr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Минтруда России, 02.06.2020 - Доклад Министра труда и социальной защиты Антона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Котякова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на Правительственном часе в Совете Федерации</w:t>
            </w:r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https://rosmintrud.ru/social/social/1221</w:t>
            </w:r>
          </w:p>
        </w:tc>
        <w:tc>
          <w:tcPr>
            <w:tcW w:w="10115" w:type="dxa"/>
            <w:shd w:val="clear" w:color="auto" w:fill="auto"/>
          </w:tcPr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Безработным гражданам, которые потеряли работу после 1 марта и воспитывают детей до 18 лет, пособие на сегодняшний день назначается в максимальном размере, а доплата за каждого несовершеннолетнего ребенка составляет 3 тыс. рублей в течение трех месяцев. </w:t>
            </w: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В правительство уже внесен проект постановления, который предусматривает распространение этой выплаты на всех безработных граждан – не только на тех, которые потеряли работу после 1 марта, а на всех граждан, которые на сегодняшний день будут признаны безработными и встанут на учет в центрах занятости.</w:t>
            </w:r>
            <w:proofErr w:type="gramEnd"/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предпринимателей, вынужденных закрыть свое дело, на три месяца устанавливается максимальный размер пособия по безработице – 12 130 рублей.</w:t>
            </w:r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Период выплат пособия автоматически продлён на 3 месяца для граждан, которые ранее были признаны безработными, но не смогли найти работу.</w:t>
            </w:r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подготовлен проект федерального закона о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пенсий для граждан, имеющих ограничения, а именно назначении пенсий по инвалидности в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порядке. Нам будет достаточно документов, которые будут находиться в </w:t>
            </w:r>
            <w:r w:rsidRPr="00A8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МСЭ и в органах системы здравоохранения.</w:t>
            </w:r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7E7223" w:rsidRPr="00A80D55" w:rsidRDefault="007E7223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Минтруд вышли с инициативой о введении доплаты за каждую смену находящимся на карантине социальным работникам. Соглашения уже на сегодняшний день подписаны, денежные средства начали выплачиваться.</w:t>
            </w:r>
          </w:p>
        </w:tc>
      </w:tr>
      <w:tr w:rsidR="00A80D55" w:rsidRPr="00A80D55" w:rsidTr="009F33B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662D8E" w:rsidRPr="00A80D55" w:rsidRDefault="00662D8E" w:rsidP="00A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Toc42093417"/>
            <w:r w:rsidRPr="00A80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ЭКОНОМИЧЕСКИЕ ПРАВА</w:t>
            </w:r>
            <w:bookmarkEnd w:id="4"/>
          </w:p>
        </w:tc>
      </w:tr>
      <w:tr w:rsidR="00A80D55" w:rsidRPr="00A80D55" w:rsidTr="00A80D55">
        <w:trPr>
          <w:trHeight w:val="2205"/>
        </w:trPr>
        <w:tc>
          <w:tcPr>
            <w:tcW w:w="490" w:type="dxa"/>
            <w:shd w:val="clear" w:color="auto" w:fill="auto"/>
          </w:tcPr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"Встреча с Председателем Правительства Михаилом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Мишустиным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" (информация с официального сайта Президента РФ от 02.06.2020)</w:t>
            </w:r>
          </w:p>
        </w:tc>
        <w:tc>
          <w:tcPr>
            <w:tcW w:w="10115" w:type="dxa"/>
            <w:shd w:val="clear" w:color="auto" w:fill="auto"/>
          </w:tcPr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Преодолеть спад экономики, вызванный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, и выйти на устойчивые темпы роста ВВП - Правительством РФ обозначены основные цели общенационального плана.</w:t>
            </w:r>
          </w:p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Общенациональный план предполагает три этапа.</w:t>
            </w:r>
          </w:p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Задача первого этапа - до конца третьего квартала текущего года стабилизировать ситуацию, не допустить дальнейшего падения доходов людей.</w:t>
            </w:r>
          </w:p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продлится до второго квартала 2021 года, и в этот период должен быть завершен процесс восстановления экономики, снижен уровень безработицы, обеспечен рост доходов граждан до уровня, который </w:t>
            </w: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 с уровнем прошлого года.</w:t>
            </w:r>
          </w:p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третьем, завершающем, этапе - это третий-четвертый кварталы 2021 года - предполагается выйти на траекторию устойчивого долгосрочного экономического роста, при этом сократится уровень бедности и увеличится количество граждан, чьи доходы превысят уровень прожиточного минимума. Численность </w:t>
            </w: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бизнесе достигнет докризисного уровня.</w:t>
            </w:r>
          </w:p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Общенациональный план содержит около 500 конкретных мероприятий, стоимость его реализации примерно за два года составит около пяти триллионов рублей.</w:t>
            </w:r>
          </w:p>
          <w:p w:rsidR="006D0466" w:rsidRPr="00A80D55" w:rsidRDefault="006D046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Окончательные параметры плана действий будут определены во второй половине июня.</w:t>
            </w:r>
          </w:p>
        </w:tc>
      </w:tr>
      <w:tr w:rsidR="00A80D55" w:rsidRPr="00A80D55" w:rsidTr="00A80D55">
        <w:trPr>
          <w:trHeight w:val="564"/>
        </w:trPr>
        <w:tc>
          <w:tcPr>
            <w:tcW w:w="490" w:type="dxa"/>
            <w:shd w:val="clear" w:color="auto" w:fill="auto"/>
          </w:tcPr>
          <w:p w:rsidR="00996CED" w:rsidRPr="00A80D55" w:rsidRDefault="00996C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996CED" w:rsidRPr="00A80D55" w:rsidRDefault="00996C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«Гарант», 02 июня 2020 г. - Налоговая служба пояснила, какими документами проверяющие могут подтвердить факт использования земель для ИЖС в предпринимательстве</w:t>
            </w:r>
          </w:p>
        </w:tc>
        <w:tc>
          <w:tcPr>
            <w:tcW w:w="10115" w:type="dxa"/>
            <w:shd w:val="clear" w:color="auto" w:fill="auto"/>
          </w:tcPr>
          <w:p w:rsidR="00996CED" w:rsidRPr="00A80D55" w:rsidRDefault="00996C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Налоговым законодательством установлено, что ставки по земельному налогу устанавливаются нормативными правовыми актами представительных органов муниципальных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образоваий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(законами городов федерального значения) и не могут превышать 0,3% в отношении отдельных категорий земельных участков. К ним, в частности, относятся земельные участки, приобретенные (предоставленные) для жилищного строительства. При этом есть и исключение - земельные участки, приобретенные (предоставленные) для индивидуального жилищного строительства, используемые в предпринимательской деятельности.  В отношении же прочих, не указанных в подп. 1 п. 1 ст. 394 НК РФ земельных участков, предельная налоговая ставка по налогу установлена в размере 1,5% (п. 2 ст. 394 НК РФ). При этом, по мнению </w:t>
            </w: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  <w:proofErr w:type="gram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службы, налоговая ставка, не превышающая 0,3% может быть установлена и в отношении земельных участков, приобретенных (предоставленных) для индивидуального жилищного строительства, но не используемых (как в отношении всей площади земельного участка, так и его части) в предпринимательской деятельности (письмо ФНС России от 19 мая 2020 г. № БС-4-21/8223@). Налоговое законодательство не содержит исчерпывающий перечень документо</w:t>
            </w: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сведений для определения налоговым органом факта использования земельного </w:t>
            </w:r>
            <w:r w:rsidRPr="00A8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в предпринимательской деятельности. </w:t>
            </w: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Как поясняет налоговая служба, к ним, в частности, могут относиться сведения, представленные органами, осуществляющими государственный земельный надзор, муниципальный земельный контроль, материалы проверок правоохранительных органов, полученные в соответствии с законодательством Российской Федерации, сведения, содержащиеся в налоговой или бухгалтерской (финансовой) отчетности, данные, содержащиеся в реестрах, ведение которых осуществляют налоговые органы, сведения, представленные в порядке межведомственного информационного взаимодействия, и прочее.</w:t>
            </w:r>
            <w:proofErr w:type="gramEnd"/>
          </w:p>
        </w:tc>
      </w:tr>
      <w:tr w:rsidR="00A80D55" w:rsidRPr="00A80D55" w:rsidTr="00A80D55">
        <w:trPr>
          <w:trHeight w:val="2115"/>
        </w:trPr>
        <w:tc>
          <w:tcPr>
            <w:tcW w:w="490" w:type="dxa"/>
            <w:shd w:val="clear" w:color="auto" w:fill="auto"/>
          </w:tcPr>
          <w:p w:rsidR="00996CED" w:rsidRPr="00A80D55" w:rsidRDefault="00996C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996CED" w:rsidRPr="00A80D55" w:rsidRDefault="00996C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Официальный сайт ФНС России, 02 июня 2020 г.- ФНС России расширила возможности цифровой платформы для выдачи льготных кредитов бизнесу</w:t>
            </w:r>
          </w:p>
        </w:tc>
        <w:tc>
          <w:tcPr>
            <w:tcW w:w="10115" w:type="dxa"/>
            <w:shd w:val="clear" w:color="auto" w:fill="auto"/>
          </w:tcPr>
          <w:p w:rsidR="00996CED" w:rsidRPr="00A80D55" w:rsidRDefault="00996C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С 1 июня расширены возможности цифровой платформы для выдачи льготных кредитов бизнесу. Теперь цифровая платформа позволяет обеспечивать контроль рисков снижения численности работников заемщика, а также контроль уровня заработной платы и наличия процедуры банкротства на период наблюдения по кредитному договору (соглашению). По условиям предоставления кредита, тем предприятиям, которые в том числе сохранят не менее 90% сотрудников, вся сумма кредита вместе с процентами будет полностью погашена за счет государства. Если показатели занятости работников чуть хуже – в штате по сравнению с мартом 2020 года трудится не менее 80% сотрудников, то предприниматель должен будет вернуть только половину ссуды и процентов по ней. Для получения кредита на вышеуказанных льготных условиях организациям, в том числе и социально ориентированным НКО, и предпринимателям нужно обратиться в банки, которые подключены к цифровой платформе ФНС России. Как разъясняет налоговая служба, такая платформа работает на технологии распределенного реестра (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). Она позволит банку проверить заявление автоматически без дополнительных подтверждающих документов. Так, кредитной организации будут предоставлены данные о статусе заемщика из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госреестров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(ЕГРЮЛ, ЕГРИП, РМСП), о том, к какой отрасли относится компания-заемщик, численность ее сотрудников и статус в едином реестре МСП (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, малое или среднее предприятие). Технология распределенного реестра обеспечивает защиту данных от любых несанкционированных изменений. Информация о вынесенном банком решении (положительном или отрицательном) становится доступна всем участникам цифровой платформы ФНС России. Помимо этого, платформа поможет избежать дублирования заявлений от одного и того же заемщика.</w:t>
            </w:r>
          </w:p>
        </w:tc>
      </w:tr>
      <w:tr w:rsidR="00A80D55" w:rsidRPr="00A80D55" w:rsidTr="00A80D55">
        <w:trPr>
          <w:trHeight w:val="281"/>
        </w:trPr>
        <w:tc>
          <w:tcPr>
            <w:tcW w:w="490" w:type="dxa"/>
            <w:shd w:val="clear" w:color="auto" w:fill="auto"/>
          </w:tcPr>
          <w:p w:rsidR="00996CED" w:rsidRPr="00A80D55" w:rsidRDefault="00996C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996CED" w:rsidRPr="00A80D55" w:rsidRDefault="00996C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Официальный сайт ФНС России, 03 июня 2020 г.- Разъяснен порядок возврата средств за театральные билеты, купленные у посредников</w:t>
            </w:r>
          </w:p>
        </w:tc>
        <w:tc>
          <w:tcPr>
            <w:tcW w:w="10115" w:type="dxa"/>
            <w:shd w:val="clear" w:color="auto" w:fill="auto"/>
          </w:tcPr>
          <w:p w:rsidR="00996CED" w:rsidRPr="00A80D55" w:rsidRDefault="00996CE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В случае отмены, замены или переноса культурного мероприятия театр или музей возмещают полную стоимость билета посетителю по его инициативе. При этом правила продажи и возврата билетов устанавливаются театром.  Эти правила должны быть и у агентов. Уполномоченное лицо, у которого был приобретен билет, также обязано произвести возврат, если договор между ним и культурной организацией возлагает на него такую обязанность.  Если покупатель обратится за возвратом билета в театр, он вернет ему только стоимость своей услуги без учета комиссии агента. Если в кассовом чеке при продаже билета выделена комиссия агента, то за возвратом этой комиссии следует обратиться к нему.</w:t>
            </w:r>
          </w:p>
        </w:tc>
      </w:tr>
      <w:tr w:rsidR="00A80D55" w:rsidRPr="00A80D55" w:rsidTr="009F33BB">
        <w:trPr>
          <w:trHeight w:val="55"/>
        </w:trPr>
        <w:tc>
          <w:tcPr>
            <w:tcW w:w="15614" w:type="dxa"/>
            <w:gridSpan w:val="3"/>
            <w:shd w:val="clear" w:color="auto" w:fill="92D050"/>
          </w:tcPr>
          <w:p w:rsidR="002820F8" w:rsidRPr="00A80D55" w:rsidRDefault="002D68AB" w:rsidP="00A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Toc42093418"/>
            <w:r w:rsidRPr="00A80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ЧС И РЕЖИМ ПОВЫШЕННОЙ ГОТОВНОСТИ</w:t>
            </w:r>
            <w:bookmarkEnd w:id="5"/>
          </w:p>
        </w:tc>
      </w:tr>
      <w:tr w:rsidR="00A80D55" w:rsidRPr="00A80D55" w:rsidTr="00A80D55">
        <w:trPr>
          <w:trHeight w:val="1380"/>
        </w:trPr>
        <w:tc>
          <w:tcPr>
            <w:tcW w:w="490" w:type="dxa"/>
            <w:shd w:val="clear" w:color="auto" w:fill="auto"/>
          </w:tcPr>
          <w:p w:rsidR="00006260" w:rsidRPr="00A80D55" w:rsidRDefault="00006260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006260" w:rsidRPr="00A80D55" w:rsidRDefault="00006260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Методические ре</w:t>
            </w:r>
            <w:r w:rsidR="00091367"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комендации MP 3.1/2.3.6.0190-20 </w:t>
            </w: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"Рекомендации по организации работы предприятий общественного питания в условиях сохранения рисков распространения COVID-19"</w:t>
            </w:r>
          </w:p>
          <w:p w:rsidR="00006260" w:rsidRPr="00A80D55" w:rsidRDefault="00006260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(утв. Федеральной службой по надзору в сфере защиты прав потребителей и благополучия человека 30 мая 2020 г.)</w:t>
            </w:r>
          </w:p>
        </w:tc>
        <w:tc>
          <w:tcPr>
            <w:tcW w:w="10115" w:type="dxa"/>
            <w:shd w:val="clear" w:color="auto" w:fill="auto"/>
          </w:tcPr>
          <w:p w:rsidR="00006260" w:rsidRPr="00A80D55" w:rsidRDefault="00006260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ежедневного перед началом рабочей смены "входного фильтра" с проведением контроля температуры тела работника. 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Размещение столов в предприятиях общественного питания с соблюдением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1,5 м.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 Обеспечение не </w:t>
            </w: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менее пятидневного</w:t>
            </w:r>
            <w:proofErr w:type="gram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запаса моющих и дезинфицирующих средств, средств индивидуальной защиты органов дыхания (маски, респираторы), перчаток. Применение в закрытых помещениях с постоянным нахождением работников устрой</w:t>
            </w: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я обеззараживания воздуха.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 При применении одноразовой посуды производится сбор использованной одноразовой посуды в одноразовые плотно закрываемые пластиковые пакеты.</w:t>
            </w:r>
          </w:p>
        </w:tc>
      </w:tr>
    </w:tbl>
    <w:p w:rsidR="000815CF" w:rsidRPr="00A80D55" w:rsidRDefault="000815CF" w:rsidP="00A8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F8" w:rsidRPr="00A80D55" w:rsidRDefault="002820F8" w:rsidP="00A80D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6" w:name="_Toc42093419"/>
      <w:r w:rsidRPr="00A80D55">
        <w:rPr>
          <w:rFonts w:ascii="Times New Roman" w:hAnsi="Times New Roman" w:cs="Times New Roman"/>
          <w:b/>
          <w:sz w:val="32"/>
          <w:szCs w:val="24"/>
        </w:rPr>
        <w:t>РЕГИОНАЛЬНОЕ ЗАКОНОДАТЕЛЬСТВО</w:t>
      </w:r>
      <w:bookmarkEnd w:id="6"/>
    </w:p>
    <w:p w:rsidR="002E3905" w:rsidRPr="00A80D55" w:rsidRDefault="002E3905" w:rsidP="00A8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A80D55" w:rsidRPr="00A80D55" w:rsidTr="00A80D55">
        <w:trPr>
          <w:trHeight w:val="214"/>
        </w:trPr>
        <w:tc>
          <w:tcPr>
            <w:tcW w:w="15388" w:type="dxa"/>
            <w:gridSpan w:val="3"/>
            <w:shd w:val="clear" w:color="auto" w:fill="92D050"/>
          </w:tcPr>
          <w:p w:rsidR="009C43FF" w:rsidRPr="00A80D55" w:rsidRDefault="009C43FF" w:rsidP="00A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Toc42093420"/>
            <w:r w:rsidRPr="00A80D5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ПРАВА</w:t>
            </w:r>
            <w:bookmarkEnd w:id="7"/>
          </w:p>
        </w:tc>
      </w:tr>
      <w:tr w:rsidR="00A80D55" w:rsidRPr="00A80D55" w:rsidTr="00A80D55">
        <w:trPr>
          <w:trHeight w:val="1103"/>
        </w:trPr>
        <w:tc>
          <w:tcPr>
            <w:tcW w:w="728" w:type="dxa"/>
            <w:shd w:val="clear" w:color="auto" w:fill="auto"/>
          </w:tcPr>
          <w:p w:rsidR="009A6496" w:rsidRPr="00A80D55" w:rsidRDefault="009A649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9A6496" w:rsidRPr="00A80D55" w:rsidRDefault="009A649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от 26.05.2020 N 104/2020-ОЗ "О внесении изменений в Закон Московской области "О комиссиях по делам несовершеннолетних и защите их прав в Московской области"</w:t>
            </w:r>
          </w:p>
        </w:tc>
        <w:tc>
          <w:tcPr>
            <w:tcW w:w="8691" w:type="dxa"/>
            <w:shd w:val="clear" w:color="auto" w:fill="auto"/>
          </w:tcPr>
          <w:p w:rsidR="009A6496" w:rsidRPr="00A80D55" w:rsidRDefault="009A649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Уточнено, что Законом установлен порядок создания комиссий по делам несовершеннолетних и защите их прав в Московской области и осуществления ими деятельности и наделяются органы местного самоуправления муниципальных образований Московской области государственным полномочием Московской области по созданию комиссий по делам несовершеннолетних и защите их прав муниципальных образований Московской области. В Законе внесены поправки, связанные с упразднением муниципальных районов.</w:t>
            </w:r>
          </w:p>
        </w:tc>
      </w:tr>
      <w:tr w:rsidR="00A80D55" w:rsidRPr="00A80D55" w:rsidTr="00A80D55">
        <w:trPr>
          <w:trHeight w:val="1102"/>
        </w:trPr>
        <w:tc>
          <w:tcPr>
            <w:tcW w:w="728" w:type="dxa"/>
            <w:shd w:val="clear" w:color="auto" w:fill="auto"/>
          </w:tcPr>
          <w:p w:rsidR="009A6496" w:rsidRPr="00A80D55" w:rsidRDefault="009A649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9A6496" w:rsidRPr="00A80D55" w:rsidRDefault="009A649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от 26.05.2020 N 105/2020-ОЗ "О внесении изменений в Закон Московской области "О материальной поддержке детей-сирот и детей, оставшихся без попечения родителей, переданных на усыновление в семьи граждан Российской Федерации"</w:t>
            </w:r>
          </w:p>
        </w:tc>
        <w:tc>
          <w:tcPr>
            <w:tcW w:w="8691" w:type="dxa"/>
            <w:shd w:val="clear" w:color="auto" w:fill="auto"/>
          </w:tcPr>
          <w:p w:rsidR="009A6496" w:rsidRPr="00A80D55" w:rsidRDefault="009A6496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Уточнены перечни документов, представляемых вместе с заявлением на единовременное и ежемесячное денежное пособие. Выписка из домовой книги заменена на «документ, подтверждающий регистрацию ребенка по месту жительства усыновителей (усыновителя)»</w:t>
            </w:r>
          </w:p>
        </w:tc>
      </w:tr>
      <w:tr w:rsidR="00A80D55" w:rsidRPr="00A80D55" w:rsidTr="00A80D55">
        <w:trPr>
          <w:trHeight w:val="1170"/>
        </w:trPr>
        <w:tc>
          <w:tcPr>
            <w:tcW w:w="728" w:type="dxa"/>
            <w:shd w:val="clear" w:color="auto" w:fill="auto"/>
          </w:tcPr>
          <w:p w:rsidR="00091367" w:rsidRPr="00A80D55" w:rsidRDefault="00091367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091367" w:rsidRPr="00A80D55" w:rsidRDefault="00091367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здравоохранения Московской области от 01.06.2020 № 61-Р "О временной маршрутизации лиц с психическими расстройствами и (или) расстройствами поведения в связи закрытием женского отделения Государственного бюджетного учреждения здравоохранения Московской области "Психиатрическая больница №7"</w:t>
            </w:r>
          </w:p>
        </w:tc>
        <w:tc>
          <w:tcPr>
            <w:tcW w:w="8691" w:type="dxa"/>
            <w:shd w:val="clear" w:color="auto" w:fill="auto"/>
          </w:tcPr>
          <w:p w:rsidR="00091367" w:rsidRPr="00A80D55" w:rsidRDefault="00091367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Больные должны доставляться не в психиатрическую больницу № 7, а в психиатрическую больницу № 2 имени Яковенко.</w:t>
            </w:r>
          </w:p>
        </w:tc>
      </w:tr>
      <w:tr w:rsidR="00A80D55" w:rsidRPr="00A80D55" w:rsidTr="00A80D55">
        <w:trPr>
          <w:trHeight w:val="281"/>
        </w:trPr>
        <w:tc>
          <w:tcPr>
            <w:tcW w:w="728" w:type="dxa"/>
            <w:shd w:val="clear" w:color="auto" w:fill="auto"/>
          </w:tcPr>
          <w:p w:rsidR="00091367" w:rsidRPr="00A80D55" w:rsidRDefault="00091367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091367" w:rsidRPr="00A80D55" w:rsidRDefault="00091367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здравоохранения Московской области от 01.06.2020 № 64-Р "О порядке обеспечения лекарственными препаратами в течени</w:t>
            </w: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ангиопластика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со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стентированием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катетерная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абляция по поводу сердечно-сосудистых заболеваний"</w:t>
            </w:r>
          </w:p>
        </w:tc>
        <w:tc>
          <w:tcPr>
            <w:tcW w:w="8691" w:type="dxa"/>
            <w:shd w:val="clear" w:color="auto" w:fill="auto"/>
          </w:tcPr>
          <w:p w:rsidR="00091367" w:rsidRPr="00A80D55" w:rsidRDefault="00091367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Приведены список лекарственных средств, которыми должны в течение года обеспечиваться пациенты с перечисленными диагнозами; Порядок обеспечения и формы документации</w:t>
            </w:r>
          </w:p>
        </w:tc>
      </w:tr>
      <w:tr w:rsidR="00A80D55" w:rsidRPr="00A80D55" w:rsidTr="00A80D55">
        <w:trPr>
          <w:trHeight w:val="276"/>
        </w:trPr>
        <w:tc>
          <w:tcPr>
            <w:tcW w:w="15388" w:type="dxa"/>
            <w:gridSpan w:val="3"/>
            <w:shd w:val="clear" w:color="auto" w:fill="92D050"/>
          </w:tcPr>
          <w:p w:rsidR="00F6026C" w:rsidRPr="00A80D55" w:rsidRDefault="00F6026C" w:rsidP="00A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Toc42093421"/>
            <w:r w:rsidRPr="00A80D55">
              <w:rPr>
                <w:rFonts w:ascii="Times New Roman" w:hAnsi="Times New Roman" w:cs="Times New Roman"/>
                <w:b/>
                <w:sz w:val="24"/>
                <w:szCs w:val="24"/>
              </w:rPr>
              <w:t>ЧС И РЕЖИМ ПОВЫШЕННОЙ ГОТОВНОСТИ</w:t>
            </w:r>
            <w:bookmarkEnd w:id="8"/>
          </w:p>
        </w:tc>
      </w:tr>
      <w:tr w:rsidR="00A80D55" w:rsidRPr="00A80D55" w:rsidTr="00A80D55">
        <w:trPr>
          <w:trHeight w:val="281"/>
        </w:trPr>
        <w:tc>
          <w:tcPr>
            <w:tcW w:w="728" w:type="dxa"/>
            <w:shd w:val="clear" w:color="auto" w:fill="auto"/>
          </w:tcPr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 w:colFirst="0" w:colLast="2"/>
          </w:p>
        </w:tc>
        <w:tc>
          <w:tcPr>
            <w:tcW w:w="5969" w:type="dxa"/>
            <w:shd w:val="clear" w:color="auto" w:fill="auto"/>
          </w:tcPr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Распоряжение заместителя председателя Правительства МО от 29.05.2020 N 40-р</w:t>
            </w:r>
          </w:p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Стандарта организации работы объектов розничной торговли, реализующих непродовольственные товары на площади торгового зала до 400 кв. м, в целях недопущения распространения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(COVID-19)"</w:t>
            </w:r>
          </w:p>
        </w:tc>
        <w:tc>
          <w:tcPr>
            <w:tcW w:w="8691" w:type="dxa"/>
            <w:shd w:val="clear" w:color="auto" w:fill="auto"/>
          </w:tcPr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принят в рамках профилактических мер по недопущению распространения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объектах розничной торговли, реализующих непродовольственные товары на площади торгового зала до 400 кв. м.</w:t>
            </w:r>
          </w:p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выполнение мероприятий Стандарта возложена персонально на руководителей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 ИП, осуществляющих деятельность на объектах торговли.</w:t>
            </w:r>
          </w:p>
        </w:tc>
      </w:tr>
      <w:tr w:rsidR="00A80D55" w:rsidRPr="00A80D55" w:rsidTr="00A80D55">
        <w:trPr>
          <w:trHeight w:val="1195"/>
        </w:trPr>
        <w:tc>
          <w:tcPr>
            <w:tcW w:w="728" w:type="dxa"/>
            <w:shd w:val="clear" w:color="auto" w:fill="auto"/>
          </w:tcPr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Распоряжение заместителя председателя Правительства МО от 29.05.2020 N 41-р</w:t>
            </w:r>
          </w:p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Стандарта по организации работы предприятий и организаций в сфере услуг при очном </w:t>
            </w:r>
            <w:r w:rsidRPr="00A8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присутствии гражданина в целях недопущения распространения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(COVID-2019)"</w:t>
            </w:r>
          </w:p>
        </w:tc>
        <w:tc>
          <w:tcPr>
            <w:tcW w:w="8691" w:type="dxa"/>
            <w:shd w:val="clear" w:color="auto" w:fill="auto"/>
          </w:tcPr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 принят в рамках профилактических мер по недопущению распространения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предприятиях и в организациях бытового обслуживания, осуществляющих свою деятельность в следующих сферах предоставления услуг:</w:t>
            </w:r>
          </w:p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ремонт компьютеров, предметов личного потребления и хозяйственно-бытового назначения (за исключением служб доставки и дистанционного обслуживания);</w:t>
            </w:r>
          </w:p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 салоны красоты, парикмахерские, косметические, СПА-салоны, массажные салоны, солярии;</w:t>
            </w:r>
          </w:p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 бани и сауны;</w:t>
            </w:r>
          </w:p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- деятельность по предоставлению прочих персональных услуг.</w:t>
            </w:r>
          </w:p>
          <w:p w:rsidR="00F2347F" w:rsidRPr="00A80D55" w:rsidRDefault="00F2347F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выполнение мероприятий Стандарта возложена персонально на руководителей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 ИП, осуществляющих деятельность на предприятиях бытового обслуживания.</w:t>
            </w:r>
          </w:p>
        </w:tc>
      </w:tr>
      <w:tr w:rsidR="00A80D55" w:rsidRPr="00A80D55" w:rsidTr="00A80D55">
        <w:trPr>
          <w:trHeight w:val="564"/>
        </w:trPr>
        <w:tc>
          <w:tcPr>
            <w:tcW w:w="728" w:type="dxa"/>
            <w:shd w:val="clear" w:color="auto" w:fill="auto"/>
          </w:tcPr>
          <w:p w:rsidR="006752FD" w:rsidRPr="00A80D55" w:rsidRDefault="006752F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6752FD" w:rsidRPr="00A80D55" w:rsidRDefault="006752F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Распоряжение первого заместителя председателя Правительства МО от 29.05.2020 N 42-р</w:t>
            </w:r>
          </w:p>
          <w:p w:rsidR="006752FD" w:rsidRPr="00A80D55" w:rsidRDefault="006752F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Стандарта по организации работы образовательных организаций, предоставляющих дошкольное образование, в целях недопущения распространения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(COVID-2019)"</w:t>
            </w:r>
          </w:p>
        </w:tc>
        <w:tc>
          <w:tcPr>
            <w:tcW w:w="8691" w:type="dxa"/>
            <w:shd w:val="clear" w:color="auto" w:fill="auto"/>
          </w:tcPr>
          <w:p w:rsidR="006752FD" w:rsidRPr="00A80D55" w:rsidRDefault="006752F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принят для организации и проведения профилактических мероприятий по недопущению распространения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 в образовательных организациях, предоставляющих дошкольное образование, всех форм собственности, осуществляющих свою деятельность на территории Московской области.</w:t>
            </w:r>
          </w:p>
          <w:p w:rsidR="006752FD" w:rsidRPr="00A80D55" w:rsidRDefault="006752F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Стандарта подлежат исполнению на постоянной основе при осуществлении деятельности организации до окончания ограничений, введенных на территории Московской области в целях недопущения распространения новой </w:t>
            </w:r>
            <w:proofErr w:type="spellStart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D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(COVID-2019); распространяются на всех воспитанников, сотрудников, родителей (законных представителей) воспитанников, посещающих организацию, а также сотрудников прочих организаций, привлекаемых к работе в организации по договорам и государственным (муниципальным) контрактам.</w:t>
            </w:r>
            <w:proofErr w:type="gramEnd"/>
          </w:p>
          <w:p w:rsidR="006752FD" w:rsidRPr="00A80D55" w:rsidRDefault="006752FD" w:rsidP="00A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выполнение мероприятий настоящего Стандарта возлагается персонально на руководителя организации.</w:t>
            </w:r>
          </w:p>
        </w:tc>
      </w:tr>
      <w:bookmarkEnd w:id="9"/>
    </w:tbl>
    <w:p w:rsidR="00EF66DD" w:rsidRPr="00A80D55" w:rsidRDefault="00EF66DD" w:rsidP="00A8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6DD" w:rsidRPr="00A80D55" w:rsidSect="00E035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5"/>
    <w:rsid w:val="00000594"/>
    <w:rsid w:val="000019A1"/>
    <w:rsid w:val="00003182"/>
    <w:rsid w:val="00005757"/>
    <w:rsid w:val="00006260"/>
    <w:rsid w:val="00012393"/>
    <w:rsid w:val="000124C3"/>
    <w:rsid w:val="000135B2"/>
    <w:rsid w:val="000136F9"/>
    <w:rsid w:val="00016FA7"/>
    <w:rsid w:val="00017221"/>
    <w:rsid w:val="00017907"/>
    <w:rsid w:val="0002550A"/>
    <w:rsid w:val="000300A1"/>
    <w:rsid w:val="00031032"/>
    <w:rsid w:val="00031BF4"/>
    <w:rsid w:val="000324FF"/>
    <w:rsid w:val="00034C79"/>
    <w:rsid w:val="00037CDC"/>
    <w:rsid w:val="00040D59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54B2B"/>
    <w:rsid w:val="00060B40"/>
    <w:rsid w:val="000632D0"/>
    <w:rsid w:val="0006338F"/>
    <w:rsid w:val="0006349B"/>
    <w:rsid w:val="00067E20"/>
    <w:rsid w:val="000702A1"/>
    <w:rsid w:val="000754FA"/>
    <w:rsid w:val="000815CF"/>
    <w:rsid w:val="000825FD"/>
    <w:rsid w:val="00091367"/>
    <w:rsid w:val="00093229"/>
    <w:rsid w:val="00095F1B"/>
    <w:rsid w:val="000974FC"/>
    <w:rsid w:val="000974FD"/>
    <w:rsid w:val="000975C9"/>
    <w:rsid w:val="00097DDA"/>
    <w:rsid w:val="000A164E"/>
    <w:rsid w:val="000A4591"/>
    <w:rsid w:val="000B4768"/>
    <w:rsid w:val="000B497F"/>
    <w:rsid w:val="000B4EE3"/>
    <w:rsid w:val="000B7E74"/>
    <w:rsid w:val="000C0327"/>
    <w:rsid w:val="000C15CA"/>
    <w:rsid w:val="000C1CBD"/>
    <w:rsid w:val="000D03AF"/>
    <w:rsid w:val="000D2131"/>
    <w:rsid w:val="000D269B"/>
    <w:rsid w:val="000D5BC1"/>
    <w:rsid w:val="000E08D8"/>
    <w:rsid w:val="000E302F"/>
    <w:rsid w:val="00102ABE"/>
    <w:rsid w:val="0010335F"/>
    <w:rsid w:val="00104EAF"/>
    <w:rsid w:val="00106676"/>
    <w:rsid w:val="00106CFD"/>
    <w:rsid w:val="00106EB9"/>
    <w:rsid w:val="00107869"/>
    <w:rsid w:val="00107E0E"/>
    <w:rsid w:val="00110A3D"/>
    <w:rsid w:val="00111496"/>
    <w:rsid w:val="00113D65"/>
    <w:rsid w:val="00114704"/>
    <w:rsid w:val="00121BE1"/>
    <w:rsid w:val="00123568"/>
    <w:rsid w:val="001278A7"/>
    <w:rsid w:val="001306A1"/>
    <w:rsid w:val="001316FE"/>
    <w:rsid w:val="00134AFF"/>
    <w:rsid w:val="00135759"/>
    <w:rsid w:val="00143A06"/>
    <w:rsid w:val="0014508A"/>
    <w:rsid w:val="00147EC2"/>
    <w:rsid w:val="00153DFB"/>
    <w:rsid w:val="0015455C"/>
    <w:rsid w:val="0015497C"/>
    <w:rsid w:val="00156B82"/>
    <w:rsid w:val="00157553"/>
    <w:rsid w:val="00160660"/>
    <w:rsid w:val="0016166F"/>
    <w:rsid w:val="00161F66"/>
    <w:rsid w:val="00162030"/>
    <w:rsid w:val="00162E70"/>
    <w:rsid w:val="001640B3"/>
    <w:rsid w:val="00165652"/>
    <w:rsid w:val="00165C61"/>
    <w:rsid w:val="0017011B"/>
    <w:rsid w:val="001705B8"/>
    <w:rsid w:val="001812AF"/>
    <w:rsid w:val="001815B9"/>
    <w:rsid w:val="00182E22"/>
    <w:rsid w:val="0018585A"/>
    <w:rsid w:val="00192745"/>
    <w:rsid w:val="0019435C"/>
    <w:rsid w:val="00194692"/>
    <w:rsid w:val="00196456"/>
    <w:rsid w:val="00197C01"/>
    <w:rsid w:val="001A0A9B"/>
    <w:rsid w:val="001A0BEF"/>
    <w:rsid w:val="001A162B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25CD"/>
    <w:rsid w:val="001C4E50"/>
    <w:rsid w:val="001C5052"/>
    <w:rsid w:val="001C5CD0"/>
    <w:rsid w:val="001C67E0"/>
    <w:rsid w:val="001D0659"/>
    <w:rsid w:val="001D25A6"/>
    <w:rsid w:val="001D2B03"/>
    <w:rsid w:val="001D618E"/>
    <w:rsid w:val="001D663C"/>
    <w:rsid w:val="001D68D0"/>
    <w:rsid w:val="001D6BBA"/>
    <w:rsid w:val="001E1328"/>
    <w:rsid w:val="001E41B1"/>
    <w:rsid w:val="001E538D"/>
    <w:rsid w:val="001E5F6C"/>
    <w:rsid w:val="001F1189"/>
    <w:rsid w:val="001F1FFB"/>
    <w:rsid w:val="001F2664"/>
    <w:rsid w:val="002015D9"/>
    <w:rsid w:val="0020193C"/>
    <w:rsid w:val="00202C6C"/>
    <w:rsid w:val="00202D62"/>
    <w:rsid w:val="00203403"/>
    <w:rsid w:val="00203FFC"/>
    <w:rsid w:val="002051CC"/>
    <w:rsid w:val="002072A2"/>
    <w:rsid w:val="00211913"/>
    <w:rsid w:val="0022286F"/>
    <w:rsid w:val="00223947"/>
    <w:rsid w:val="00224C48"/>
    <w:rsid w:val="00224E13"/>
    <w:rsid w:val="00225424"/>
    <w:rsid w:val="002279D0"/>
    <w:rsid w:val="00232DF7"/>
    <w:rsid w:val="00233717"/>
    <w:rsid w:val="00234440"/>
    <w:rsid w:val="0023559D"/>
    <w:rsid w:val="002374C0"/>
    <w:rsid w:val="00244009"/>
    <w:rsid w:val="0024473E"/>
    <w:rsid w:val="00246485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67673"/>
    <w:rsid w:val="00270743"/>
    <w:rsid w:val="00270977"/>
    <w:rsid w:val="00271FD9"/>
    <w:rsid w:val="00272FE9"/>
    <w:rsid w:val="00273B35"/>
    <w:rsid w:val="00275EED"/>
    <w:rsid w:val="002769F4"/>
    <w:rsid w:val="00277D2D"/>
    <w:rsid w:val="002820F8"/>
    <w:rsid w:val="00282957"/>
    <w:rsid w:val="00284344"/>
    <w:rsid w:val="00286FE5"/>
    <w:rsid w:val="0029040D"/>
    <w:rsid w:val="00291FE7"/>
    <w:rsid w:val="002975D1"/>
    <w:rsid w:val="002977E0"/>
    <w:rsid w:val="002A248B"/>
    <w:rsid w:val="002A347D"/>
    <w:rsid w:val="002A3B2F"/>
    <w:rsid w:val="002A452D"/>
    <w:rsid w:val="002A4599"/>
    <w:rsid w:val="002A4653"/>
    <w:rsid w:val="002A6C45"/>
    <w:rsid w:val="002B067F"/>
    <w:rsid w:val="002B2F8A"/>
    <w:rsid w:val="002B3084"/>
    <w:rsid w:val="002B58ED"/>
    <w:rsid w:val="002B7E9F"/>
    <w:rsid w:val="002C024D"/>
    <w:rsid w:val="002C1D5D"/>
    <w:rsid w:val="002C24BC"/>
    <w:rsid w:val="002C2785"/>
    <w:rsid w:val="002C3FD0"/>
    <w:rsid w:val="002D19B1"/>
    <w:rsid w:val="002D36CF"/>
    <w:rsid w:val="002D68AB"/>
    <w:rsid w:val="002D7105"/>
    <w:rsid w:val="002D780D"/>
    <w:rsid w:val="002D7A17"/>
    <w:rsid w:val="002E3905"/>
    <w:rsid w:val="002E692B"/>
    <w:rsid w:val="002E6B4B"/>
    <w:rsid w:val="002E6D3B"/>
    <w:rsid w:val="002F0A72"/>
    <w:rsid w:val="002F1A1A"/>
    <w:rsid w:val="002F24E1"/>
    <w:rsid w:val="002F3C27"/>
    <w:rsid w:val="002F3FAF"/>
    <w:rsid w:val="002F4003"/>
    <w:rsid w:val="002F53E3"/>
    <w:rsid w:val="00300350"/>
    <w:rsid w:val="003014F3"/>
    <w:rsid w:val="003028BD"/>
    <w:rsid w:val="0030639D"/>
    <w:rsid w:val="003163F4"/>
    <w:rsid w:val="00332559"/>
    <w:rsid w:val="00332CD1"/>
    <w:rsid w:val="003331D5"/>
    <w:rsid w:val="00333463"/>
    <w:rsid w:val="00333D06"/>
    <w:rsid w:val="0033457E"/>
    <w:rsid w:val="00341233"/>
    <w:rsid w:val="00341547"/>
    <w:rsid w:val="0034468E"/>
    <w:rsid w:val="00345CFB"/>
    <w:rsid w:val="003471F2"/>
    <w:rsid w:val="003565AF"/>
    <w:rsid w:val="00356A88"/>
    <w:rsid w:val="00360774"/>
    <w:rsid w:val="00370ACE"/>
    <w:rsid w:val="0037131F"/>
    <w:rsid w:val="00371850"/>
    <w:rsid w:val="0037299D"/>
    <w:rsid w:val="003747D6"/>
    <w:rsid w:val="003820D6"/>
    <w:rsid w:val="00383583"/>
    <w:rsid w:val="00387574"/>
    <w:rsid w:val="003901E8"/>
    <w:rsid w:val="00392CE0"/>
    <w:rsid w:val="00396FA6"/>
    <w:rsid w:val="0039799B"/>
    <w:rsid w:val="003A1F21"/>
    <w:rsid w:val="003A4A60"/>
    <w:rsid w:val="003A79E8"/>
    <w:rsid w:val="003A7C25"/>
    <w:rsid w:val="003B0A5D"/>
    <w:rsid w:val="003B11E0"/>
    <w:rsid w:val="003B3F14"/>
    <w:rsid w:val="003B49A5"/>
    <w:rsid w:val="003B6A8B"/>
    <w:rsid w:val="003C013C"/>
    <w:rsid w:val="003C05CB"/>
    <w:rsid w:val="003C209C"/>
    <w:rsid w:val="003C3876"/>
    <w:rsid w:val="003C3F03"/>
    <w:rsid w:val="003C7CBF"/>
    <w:rsid w:val="003D0569"/>
    <w:rsid w:val="003D1F81"/>
    <w:rsid w:val="003D2975"/>
    <w:rsid w:val="003D383C"/>
    <w:rsid w:val="003D3B1C"/>
    <w:rsid w:val="003D4CCD"/>
    <w:rsid w:val="003D5248"/>
    <w:rsid w:val="003D552E"/>
    <w:rsid w:val="003D7FA9"/>
    <w:rsid w:val="003E2C5C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66B"/>
    <w:rsid w:val="00412E35"/>
    <w:rsid w:val="00414811"/>
    <w:rsid w:val="00414C58"/>
    <w:rsid w:val="00420E4E"/>
    <w:rsid w:val="00422650"/>
    <w:rsid w:val="00422A2C"/>
    <w:rsid w:val="00440AFB"/>
    <w:rsid w:val="00444BFC"/>
    <w:rsid w:val="004456C3"/>
    <w:rsid w:val="004539E6"/>
    <w:rsid w:val="00462C62"/>
    <w:rsid w:val="00462DA2"/>
    <w:rsid w:val="00462FA2"/>
    <w:rsid w:val="0046767E"/>
    <w:rsid w:val="00467E0A"/>
    <w:rsid w:val="00474090"/>
    <w:rsid w:val="00474C2A"/>
    <w:rsid w:val="004752B4"/>
    <w:rsid w:val="00477006"/>
    <w:rsid w:val="00483644"/>
    <w:rsid w:val="0048532D"/>
    <w:rsid w:val="0049539E"/>
    <w:rsid w:val="004974C8"/>
    <w:rsid w:val="004A12C4"/>
    <w:rsid w:val="004A52B1"/>
    <w:rsid w:val="004B3994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377"/>
    <w:rsid w:val="004F6E6A"/>
    <w:rsid w:val="0050283E"/>
    <w:rsid w:val="00503D9D"/>
    <w:rsid w:val="00504289"/>
    <w:rsid w:val="005055E6"/>
    <w:rsid w:val="00505646"/>
    <w:rsid w:val="00507B0E"/>
    <w:rsid w:val="00510E69"/>
    <w:rsid w:val="00510EE0"/>
    <w:rsid w:val="00511E46"/>
    <w:rsid w:val="00512475"/>
    <w:rsid w:val="00512EAC"/>
    <w:rsid w:val="005213DA"/>
    <w:rsid w:val="00527EC8"/>
    <w:rsid w:val="005337F3"/>
    <w:rsid w:val="00537611"/>
    <w:rsid w:val="00544C4B"/>
    <w:rsid w:val="00545626"/>
    <w:rsid w:val="00554511"/>
    <w:rsid w:val="005550C9"/>
    <w:rsid w:val="0056344E"/>
    <w:rsid w:val="00565FBB"/>
    <w:rsid w:val="005661D4"/>
    <w:rsid w:val="00567A04"/>
    <w:rsid w:val="00574852"/>
    <w:rsid w:val="005749B2"/>
    <w:rsid w:val="005762BA"/>
    <w:rsid w:val="005775E0"/>
    <w:rsid w:val="005800F0"/>
    <w:rsid w:val="00584B3F"/>
    <w:rsid w:val="00585315"/>
    <w:rsid w:val="005856F9"/>
    <w:rsid w:val="0059337D"/>
    <w:rsid w:val="00594B1C"/>
    <w:rsid w:val="0059771F"/>
    <w:rsid w:val="005A0032"/>
    <w:rsid w:val="005A00F5"/>
    <w:rsid w:val="005A1630"/>
    <w:rsid w:val="005A32ED"/>
    <w:rsid w:val="005A48E5"/>
    <w:rsid w:val="005B058E"/>
    <w:rsid w:val="005B4086"/>
    <w:rsid w:val="005B52C7"/>
    <w:rsid w:val="005B7D8C"/>
    <w:rsid w:val="005C4844"/>
    <w:rsid w:val="005C7BE4"/>
    <w:rsid w:val="005D1179"/>
    <w:rsid w:val="005D58C8"/>
    <w:rsid w:val="005D735A"/>
    <w:rsid w:val="005E3CF3"/>
    <w:rsid w:val="005E4F3F"/>
    <w:rsid w:val="005E6ECE"/>
    <w:rsid w:val="005F19B9"/>
    <w:rsid w:val="005F4B65"/>
    <w:rsid w:val="005F7386"/>
    <w:rsid w:val="005F7824"/>
    <w:rsid w:val="006019C5"/>
    <w:rsid w:val="006044BF"/>
    <w:rsid w:val="00612120"/>
    <w:rsid w:val="00612D23"/>
    <w:rsid w:val="00613CFD"/>
    <w:rsid w:val="00621DD9"/>
    <w:rsid w:val="00621FE3"/>
    <w:rsid w:val="006224C5"/>
    <w:rsid w:val="006235DF"/>
    <w:rsid w:val="00623921"/>
    <w:rsid w:val="00626EB5"/>
    <w:rsid w:val="006275E0"/>
    <w:rsid w:val="0063478D"/>
    <w:rsid w:val="00634C0A"/>
    <w:rsid w:val="00636B69"/>
    <w:rsid w:val="00637AFA"/>
    <w:rsid w:val="00637BAB"/>
    <w:rsid w:val="00640F46"/>
    <w:rsid w:val="006411E6"/>
    <w:rsid w:val="00641AF6"/>
    <w:rsid w:val="00643972"/>
    <w:rsid w:val="006453C8"/>
    <w:rsid w:val="00645ABC"/>
    <w:rsid w:val="00645F7F"/>
    <w:rsid w:val="0065080D"/>
    <w:rsid w:val="00650C72"/>
    <w:rsid w:val="006514E1"/>
    <w:rsid w:val="00654041"/>
    <w:rsid w:val="006545DB"/>
    <w:rsid w:val="00654CDF"/>
    <w:rsid w:val="00655B98"/>
    <w:rsid w:val="0065625D"/>
    <w:rsid w:val="0066176C"/>
    <w:rsid w:val="006619F0"/>
    <w:rsid w:val="00662D8E"/>
    <w:rsid w:val="00665B64"/>
    <w:rsid w:val="00665B8C"/>
    <w:rsid w:val="00666981"/>
    <w:rsid w:val="006670B5"/>
    <w:rsid w:val="00670481"/>
    <w:rsid w:val="0067318D"/>
    <w:rsid w:val="006752FD"/>
    <w:rsid w:val="00681860"/>
    <w:rsid w:val="00682660"/>
    <w:rsid w:val="006856EC"/>
    <w:rsid w:val="006869BA"/>
    <w:rsid w:val="00687229"/>
    <w:rsid w:val="00687D58"/>
    <w:rsid w:val="00692545"/>
    <w:rsid w:val="006943D3"/>
    <w:rsid w:val="00694ACD"/>
    <w:rsid w:val="00695E88"/>
    <w:rsid w:val="00696396"/>
    <w:rsid w:val="006965B8"/>
    <w:rsid w:val="0069781C"/>
    <w:rsid w:val="006A11B1"/>
    <w:rsid w:val="006A71B9"/>
    <w:rsid w:val="006B2902"/>
    <w:rsid w:val="006C0E34"/>
    <w:rsid w:val="006C155B"/>
    <w:rsid w:val="006C21C9"/>
    <w:rsid w:val="006C2975"/>
    <w:rsid w:val="006C50EB"/>
    <w:rsid w:val="006C5256"/>
    <w:rsid w:val="006D0466"/>
    <w:rsid w:val="006D2F4E"/>
    <w:rsid w:val="006D4BA0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2880"/>
    <w:rsid w:val="007259D5"/>
    <w:rsid w:val="007262F0"/>
    <w:rsid w:val="0072706B"/>
    <w:rsid w:val="0072799E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07D9"/>
    <w:rsid w:val="00762D56"/>
    <w:rsid w:val="0076592C"/>
    <w:rsid w:val="0077107C"/>
    <w:rsid w:val="00772F3D"/>
    <w:rsid w:val="007740B7"/>
    <w:rsid w:val="00775667"/>
    <w:rsid w:val="007801EA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3A6F"/>
    <w:rsid w:val="007A4FDA"/>
    <w:rsid w:val="007B0B93"/>
    <w:rsid w:val="007B3609"/>
    <w:rsid w:val="007B49DC"/>
    <w:rsid w:val="007B5707"/>
    <w:rsid w:val="007C136F"/>
    <w:rsid w:val="007C6896"/>
    <w:rsid w:val="007C79F6"/>
    <w:rsid w:val="007E3CF4"/>
    <w:rsid w:val="007E6963"/>
    <w:rsid w:val="007E7223"/>
    <w:rsid w:val="007F0729"/>
    <w:rsid w:val="007F2290"/>
    <w:rsid w:val="007F3F3A"/>
    <w:rsid w:val="00800C50"/>
    <w:rsid w:val="00803668"/>
    <w:rsid w:val="00805065"/>
    <w:rsid w:val="00806374"/>
    <w:rsid w:val="008067D9"/>
    <w:rsid w:val="00806F29"/>
    <w:rsid w:val="00810D14"/>
    <w:rsid w:val="00811E26"/>
    <w:rsid w:val="00812AA9"/>
    <w:rsid w:val="008135A9"/>
    <w:rsid w:val="008161C5"/>
    <w:rsid w:val="00820DF5"/>
    <w:rsid w:val="00824571"/>
    <w:rsid w:val="008247EC"/>
    <w:rsid w:val="008258FA"/>
    <w:rsid w:val="00831660"/>
    <w:rsid w:val="00837353"/>
    <w:rsid w:val="0085090A"/>
    <w:rsid w:val="0085148F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278C"/>
    <w:rsid w:val="008E3EF9"/>
    <w:rsid w:val="008E538E"/>
    <w:rsid w:val="008E5C22"/>
    <w:rsid w:val="008E7197"/>
    <w:rsid w:val="008F08CF"/>
    <w:rsid w:val="008F09EF"/>
    <w:rsid w:val="008F0DF7"/>
    <w:rsid w:val="008F0DF8"/>
    <w:rsid w:val="008F6374"/>
    <w:rsid w:val="0090523A"/>
    <w:rsid w:val="00906F56"/>
    <w:rsid w:val="00911EB8"/>
    <w:rsid w:val="00912F8C"/>
    <w:rsid w:val="00913006"/>
    <w:rsid w:val="009178C3"/>
    <w:rsid w:val="009224DB"/>
    <w:rsid w:val="00923EC1"/>
    <w:rsid w:val="009246ED"/>
    <w:rsid w:val="00927D72"/>
    <w:rsid w:val="00932A53"/>
    <w:rsid w:val="009333B2"/>
    <w:rsid w:val="00935505"/>
    <w:rsid w:val="00935792"/>
    <w:rsid w:val="00946A3C"/>
    <w:rsid w:val="009510A5"/>
    <w:rsid w:val="00954D5F"/>
    <w:rsid w:val="00954F7E"/>
    <w:rsid w:val="0095524F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873ED"/>
    <w:rsid w:val="009906C5"/>
    <w:rsid w:val="00994E64"/>
    <w:rsid w:val="0099625F"/>
    <w:rsid w:val="00996CED"/>
    <w:rsid w:val="00997C76"/>
    <w:rsid w:val="009A12C7"/>
    <w:rsid w:val="009A3D29"/>
    <w:rsid w:val="009A6496"/>
    <w:rsid w:val="009A76CF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2E31"/>
    <w:rsid w:val="009F33BB"/>
    <w:rsid w:val="009F36ED"/>
    <w:rsid w:val="009F622E"/>
    <w:rsid w:val="00A01011"/>
    <w:rsid w:val="00A048D8"/>
    <w:rsid w:val="00A04E2E"/>
    <w:rsid w:val="00A05D39"/>
    <w:rsid w:val="00A063AC"/>
    <w:rsid w:val="00A063B0"/>
    <w:rsid w:val="00A069B5"/>
    <w:rsid w:val="00A06B10"/>
    <w:rsid w:val="00A116FB"/>
    <w:rsid w:val="00A11E8A"/>
    <w:rsid w:val="00A13B4E"/>
    <w:rsid w:val="00A13CCD"/>
    <w:rsid w:val="00A20516"/>
    <w:rsid w:val="00A20918"/>
    <w:rsid w:val="00A2322D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9A"/>
    <w:rsid w:val="00A802C2"/>
    <w:rsid w:val="00A80D55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5B97"/>
    <w:rsid w:val="00AA7B38"/>
    <w:rsid w:val="00AA7E7B"/>
    <w:rsid w:val="00AB0254"/>
    <w:rsid w:val="00AB055F"/>
    <w:rsid w:val="00AB2A46"/>
    <w:rsid w:val="00AB3906"/>
    <w:rsid w:val="00AB4E42"/>
    <w:rsid w:val="00AB6EB8"/>
    <w:rsid w:val="00AC6D0C"/>
    <w:rsid w:val="00AC78B9"/>
    <w:rsid w:val="00AD315D"/>
    <w:rsid w:val="00AD753B"/>
    <w:rsid w:val="00AE2C1D"/>
    <w:rsid w:val="00AE3374"/>
    <w:rsid w:val="00AE4DD7"/>
    <w:rsid w:val="00AE5DCA"/>
    <w:rsid w:val="00AF10E1"/>
    <w:rsid w:val="00AF21AA"/>
    <w:rsid w:val="00AF2E98"/>
    <w:rsid w:val="00AF3AFE"/>
    <w:rsid w:val="00AF50AB"/>
    <w:rsid w:val="00AF5EEC"/>
    <w:rsid w:val="00AF6284"/>
    <w:rsid w:val="00AF7983"/>
    <w:rsid w:val="00B0011A"/>
    <w:rsid w:val="00B0092C"/>
    <w:rsid w:val="00B0099C"/>
    <w:rsid w:val="00B02113"/>
    <w:rsid w:val="00B04BDB"/>
    <w:rsid w:val="00B05A72"/>
    <w:rsid w:val="00B12733"/>
    <w:rsid w:val="00B22514"/>
    <w:rsid w:val="00B22776"/>
    <w:rsid w:val="00B259C9"/>
    <w:rsid w:val="00B407FC"/>
    <w:rsid w:val="00B4664E"/>
    <w:rsid w:val="00B47D9C"/>
    <w:rsid w:val="00B5052D"/>
    <w:rsid w:val="00B5128A"/>
    <w:rsid w:val="00B51322"/>
    <w:rsid w:val="00B52245"/>
    <w:rsid w:val="00B53F98"/>
    <w:rsid w:val="00B54DA9"/>
    <w:rsid w:val="00B550D8"/>
    <w:rsid w:val="00B55581"/>
    <w:rsid w:val="00B556EB"/>
    <w:rsid w:val="00B6218C"/>
    <w:rsid w:val="00B624BB"/>
    <w:rsid w:val="00B63342"/>
    <w:rsid w:val="00B66053"/>
    <w:rsid w:val="00B703AC"/>
    <w:rsid w:val="00B71A61"/>
    <w:rsid w:val="00B737D9"/>
    <w:rsid w:val="00B749BF"/>
    <w:rsid w:val="00B756A7"/>
    <w:rsid w:val="00B764FA"/>
    <w:rsid w:val="00B806F4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B1AA5"/>
    <w:rsid w:val="00BB3130"/>
    <w:rsid w:val="00BB3888"/>
    <w:rsid w:val="00BC200D"/>
    <w:rsid w:val="00BC31D0"/>
    <w:rsid w:val="00BC717F"/>
    <w:rsid w:val="00BD0D4B"/>
    <w:rsid w:val="00BD26FD"/>
    <w:rsid w:val="00BD2784"/>
    <w:rsid w:val="00BD2918"/>
    <w:rsid w:val="00BD30AC"/>
    <w:rsid w:val="00BD4E92"/>
    <w:rsid w:val="00BD65F6"/>
    <w:rsid w:val="00BE1169"/>
    <w:rsid w:val="00BE44D7"/>
    <w:rsid w:val="00BE60B0"/>
    <w:rsid w:val="00BF2773"/>
    <w:rsid w:val="00BF3442"/>
    <w:rsid w:val="00BF37AF"/>
    <w:rsid w:val="00BF5287"/>
    <w:rsid w:val="00BF6B4A"/>
    <w:rsid w:val="00C11A20"/>
    <w:rsid w:val="00C14D3B"/>
    <w:rsid w:val="00C15D26"/>
    <w:rsid w:val="00C167EE"/>
    <w:rsid w:val="00C17CE7"/>
    <w:rsid w:val="00C20FAD"/>
    <w:rsid w:val="00C21668"/>
    <w:rsid w:val="00C22002"/>
    <w:rsid w:val="00C265D0"/>
    <w:rsid w:val="00C270C0"/>
    <w:rsid w:val="00C409B7"/>
    <w:rsid w:val="00C41845"/>
    <w:rsid w:val="00C426F9"/>
    <w:rsid w:val="00C44666"/>
    <w:rsid w:val="00C46C31"/>
    <w:rsid w:val="00C47C7F"/>
    <w:rsid w:val="00C5559F"/>
    <w:rsid w:val="00C567CF"/>
    <w:rsid w:val="00C57A29"/>
    <w:rsid w:val="00C60E46"/>
    <w:rsid w:val="00C63B89"/>
    <w:rsid w:val="00C720DA"/>
    <w:rsid w:val="00C74BF0"/>
    <w:rsid w:val="00C7533B"/>
    <w:rsid w:val="00C76527"/>
    <w:rsid w:val="00C77D4E"/>
    <w:rsid w:val="00C80902"/>
    <w:rsid w:val="00C81F2E"/>
    <w:rsid w:val="00C8211C"/>
    <w:rsid w:val="00C8281E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1A64"/>
    <w:rsid w:val="00CA4F47"/>
    <w:rsid w:val="00CA7319"/>
    <w:rsid w:val="00CB2BA8"/>
    <w:rsid w:val="00CB32AA"/>
    <w:rsid w:val="00CB3660"/>
    <w:rsid w:val="00CB5807"/>
    <w:rsid w:val="00CB68A7"/>
    <w:rsid w:val="00CB7F44"/>
    <w:rsid w:val="00CC0B9F"/>
    <w:rsid w:val="00CC16CF"/>
    <w:rsid w:val="00CC20EF"/>
    <w:rsid w:val="00CC2C37"/>
    <w:rsid w:val="00CC5DCC"/>
    <w:rsid w:val="00CC5E21"/>
    <w:rsid w:val="00CC7FC3"/>
    <w:rsid w:val="00CD427D"/>
    <w:rsid w:val="00CD4877"/>
    <w:rsid w:val="00CD556C"/>
    <w:rsid w:val="00CD5C08"/>
    <w:rsid w:val="00CE1292"/>
    <w:rsid w:val="00CE2421"/>
    <w:rsid w:val="00CE46CC"/>
    <w:rsid w:val="00CE6835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195B"/>
    <w:rsid w:val="00D721CD"/>
    <w:rsid w:val="00D72DCD"/>
    <w:rsid w:val="00D82BDC"/>
    <w:rsid w:val="00D864EB"/>
    <w:rsid w:val="00D8706B"/>
    <w:rsid w:val="00D911F9"/>
    <w:rsid w:val="00D9419B"/>
    <w:rsid w:val="00DA4AD1"/>
    <w:rsid w:val="00DA530D"/>
    <w:rsid w:val="00DA681F"/>
    <w:rsid w:val="00DB1121"/>
    <w:rsid w:val="00DB1D4C"/>
    <w:rsid w:val="00DB32FD"/>
    <w:rsid w:val="00DB4143"/>
    <w:rsid w:val="00DB67C4"/>
    <w:rsid w:val="00DC444F"/>
    <w:rsid w:val="00DD1552"/>
    <w:rsid w:val="00DD164C"/>
    <w:rsid w:val="00DD41E9"/>
    <w:rsid w:val="00DD566F"/>
    <w:rsid w:val="00DE3174"/>
    <w:rsid w:val="00DE454E"/>
    <w:rsid w:val="00DE533E"/>
    <w:rsid w:val="00DE72F8"/>
    <w:rsid w:val="00DF1986"/>
    <w:rsid w:val="00DF3881"/>
    <w:rsid w:val="00DF3A28"/>
    <w:rsid w:val="00DF40B7"/>
    <w:rsid w:val="00DF4A3B"/>
    <w:rsid w:val="00DF7E9C"/>
    <w:rsid w:val="00E00758"/>
    <w:rsid w:val="00E00901"/>
    <w:rsid w:val="00E024DB"/>
    <w:rsid w:val="00E03595"/>
    <w:rsid w:val="00E0757B"/>
    <w:rsid w:val="00E139AF"/>
    <w:rsid w:val="00E13FA4"/>
    <w:rsid w:val="00E15ED0"/>
    <w:rsid w:val="00E1683E"/>
    <w:rsid w:val="00E24ED7"/>
    <w:rsid w:val="00E2575E"/>
    <w:rsid w:val="00E30531"/>
    <w:rsid w:val="00E323F4"/>
    <w:rsid w:val="00E32C76"/>
    <w:rsid w:val="00E34210"/>
    <w:rsid w:val="00E34446"/>
    <w:rsid w:val="00E3487D"/>
    <w:rsid w:val="00E35ECE"/>
    <w:rsid w:val="00E365F9"/>
    <w:rsid w:val="00E3756F"/>
    <w:rsid w:val="00E40070"/>
    <w:rsid w:val="00E41297"/>
    <w:rsid w:val="00E41B81"/>
    <w:rsid w:val="00E41E91"/>
    <w:rsid w:val="00E43B6D"/>
    <w:rsid w:val="00E44038"/>
    <w:rsid w:val="00E44170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57FC"/>
    <w:rsid w:val="00E6604F"/>
    <w:rsid w:val="00E671D1"/>
    <w:rsid w:val="00E70EF1"/>
    <w:rsid w:val="00E7123A"/>
    <w:rsid w:val="00E740B1"/>
    <w:rsid w:val="00E74728"/>
    <w:rsid w:val="00E754E0"/>
    <w:rsid w:val="00E7716A"/>
    <w:rsid w:val="00E80539"/>
    <w:rsid w:val="00E81C29"/>
    <w:rsid w:val="00E84556"/>
    <w:rsid w:val="00E84AAF"/>
    <w:rsid w:val="00E84BB0"/>
    <w:rsid w:val="00E874FB"/>
    <w:rsid w:val="00E917F2"/>
    <w:rsid w:val="00E929D2"/>
    <w:rsid w:val="00E94321"/>
    <w:rsid w:val="00EA201F"/>
    <w:rsid w:val="00EB003D"/>
    <w:rsid w:val="00EB0158"/>
    <w:rsid w:val="00EB13BA"/>
    <w:rsid w:val="00EB1A74"/>
    <w:rsid w:val="00EB2032"/>
    <w:rsid w:val="00EB74CE"/>
    <w:rsid w:val="00EC59C8"/>
    <w:rsid w:val="00EC6C2D"/>
    <w:rsid w:val="00ED0F07"/>
    <w:rsid w:val="00ED400E"/>
    <w:rsid w:val="00ED433C"/>
    <w:rsid w:val="00ED4846"/>
    <w:rsid w:val="00ED6D8D"/>
    <w:rsid w:val="00EE3CEC"/>
    <w:rsid w:val="00EE3F6B"/>
    <w:rsid w:val="00EE4F51"/>
    <w:rsid w:val="00EE75B3"/>
    <w:rsid w:val="00EF1DC6"/>
    <w:rsid w:val="00EF441E"/>
    <w:rsid w:val="00EF66DD"/>
    <w:rsid w:val="00F01EF0"/>
    <w:rsid w:val="00F04738"/>
    <w:rsid w:val="00F05541"/>
    <w:rsid w:val="00F1170D"/>
    <w:rsid w:val="00F1244E"/>
    <w:rsid w:val="00F16809"/>
    <w:rsid w:val="00F16BCA"/>
    <w:rsid w:val="00F16D0E"/>
    <w:rsid w:val="00F21866"/>
    <w:rsid w:val="00F222C5"/>
    <w:rsid w:val="00F2347F"/>
    <w:rsid w:val="00F31080"/>
    <w:rsid w:val="00F31836"/>
    <w:rsid w:val="00F34015"/>
    <w:rsid w:val="00F41B89"/>
    <w:rsid w:val="00F43205"/>
    <w:rsid w:val="00F45D0F"/>
    <w:rsid w:val="00F50718"/>
    <w:rsid w:val="00F514F6"/>
    <w:rsid w:val="00F52D97"/>
    <w:rsid w:val="00F57BA8"/>
    <w:rsid w:val="00F6026C"/>
    <w:rsid w:val="00F61E52"/>
    <w:rsid w:val="00F64F20"/>
    <w:rsid w:val="00F6736C"/>
    <w:rsid w:val="00F70269"/>
    <w:rsid w:val="00F732AD"/>
    <w:rsid w:val="00F74645"/>
    <w:rsid w:val="00F808F4"/>
    <w:rsid w:val="00F810E3"/>
    <w:rsid w:val="00F8251A"/>
    <w:rsid w:val="00F854A7"/>
    <w:rsid w:val="00F875CB"/>
    <w:rsid w:val="00F912C4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65AC"/>
    <w:rsid w:val="00FA68AD"/>
    <w:rsid w:val="00FA752A"/>
    <w:rsid w:val="00FA7A64"/>
    <w:rsid w:val="00FB2A4B"/>
    <w:rsid w:val="00FB45FC"/>
    <w:rsid w:val="00FB504B"/>
    <w:rsid w:val="00FB56FB"/>
    <w:rsid w:val="00FC12EA"/>
    <w:rsid w:val="00FC1760"/>
    <w:rsid w:val="00FC385A"/>
    <w:rsid w:val="00FD2877"/>
    <w:rsid w:val="00FD563F"/>
    <w:rsid w:val="00FE17D7"/>
    <w:rsid w:val="00FE36DF"/>
    <w:rsid w:val="00FE4768"/>
    <w:rsid w:val="00FE4EE3"/>
    <w:rsid w:val="00FE6180"/>
    <w:rsid w:val="00FE64E0"/>
    <w:rsid w:val="00FE7432"/>
    <w:rsid w:val="00FF0E2C"/>
    <w:rsid w:val="00FF3AA1"/>
    <w:rsid w:val="00FF3C94"/>
    <w:rsid w:val="00FF49ED"/>
    <w:rsid w:val="00FF4A72"/>
    <w:rsid w:val="00FF6018"/>
    <w:rsid w:val="00FF61F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Normal (Web)"/>
    <w:basedOn w:val="a"/>
    <w:unhideWhenUsed/>
    <w:rsid w:val="000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Normal (Web)"/>
    <w:basedOn w:val="a"/>
    <w:unhideWhenUsed/>
    <w:rsid w:val="000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utt.ly/dyXLd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F062-71F7-4B2A-A674-ED270641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6347</TotalTime>
  <Pages>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exif_MSED_dc671798f6be0e4aff7370542f974bf7dd89ad817b2794157ed87326f1392c99</dc:description>
  <cp:lastModifiedBy>User</cp:lastModifiedBy>
  <cp:revision>796</cp:revision>
  <dcterms:created xsi:type="dcterms:W3CDTF">2020-04-22T09:15:00Z</dcterms:created>
  <dcterms:modified xsi:type="dcterms:W3CDTF">2020-06-04T13:13:00Z</dcterms:modified>
</cp:coreProperties>
</file>