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ind w:left="1418"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  <w:t xml:space="preserve">Анкета участника Конкурса «Лучший работодатель в сфере содействия занятости ветеранов боевых действий в Московской области»</w:t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p>
      <w:pPr>
        <w:jc w:val="both"/>
        <w:widowControl w:val="off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tbl>
      <w:tblPr>
        <w:tblStyle w:val="76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Для юридических лиц: </w:t>
            </w:r>
            <w:r>
              <w:rPr>
                <w:rFonts w:eastAsia="Tahoma" w:cs="Droid Sans Devanagari"/>
                <w:lang w:eastAsia="en-US"/>
              </w:rPr>
              <w:t xml:space="preserve">фамилия, имя, отчество (при наличии) руководителя юридического лица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2. Адрес работодателя с указанием почтового индекса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3. Адрес электронной почты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/>
        <w:tc>
          <w:tcPr>
            <w:tcW w:w="985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4. Телефон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5. Общая численность работников, всего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6. Число работающих ветеранов боевых действий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В том числе с инвалидностью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7. </w:t>
            </w:r>
            <w:r>
              <w:rPr>
                <w:color w:val="000000"/>
                <w:lang w:eastAsia="en-US"/>
              </w:rPr>
              <w:t xml:space="preserve">Величина среднемесячной заработной платы работающих ветеранов боевых действий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8. </w:t>
            </w:r>
            <w:r>
              <w:rPr>
                <w:color w:val="000000"/>
                <w:lang w:eastAsia="en-US"/>
              </w:rPr>
              <w:t xml:space="preserve">Наличие льгот (дополнительных мер социальной поддержки за счет средств работодателям, </w:t>
            </w:r>
            <w:r>
              <w:rPr>
                <w:color w:val="000000"/>
                <w:lang w:eastAsia="en-US"/>
              </w:rPr>
              <w:t xml:space="preserve">нап</w:t>
            </w:r>
            <w:r>
              <w:rPr>
                <w:color w:val="000000"/>
                <w:lang w:eastAsia="en-US"/>
              </w:rPr>
              <w:t xml:space="preserve">ример</w:t>
            </w:r>
            <w:r>
              <w:rPr>
                <w:color w:val="000000"/>
                <w:lang w:eastAsia="en-US"/>
              </w:rPr>
              <w:t xml:space="preserve">: добровольное медицинское страхование, санаторно-курортное лечение, досуговая деятельность – спортивная, творческая, экскурсионная, организация питания и прочее), которыми могут пользоваться работающие ветераны боевых действий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информацию о</w:t>
            </w:r>
            <w:r>
              <w:rPr>
                <w:color w:val="000000"/>
                <w:lang w:eastAsia="en-US"/>
              </w:rPr>
              <w:t xml:space="preserve"> льготах, их количестве, условиях получения)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9. </w:t>
            </w:r>
            <w:r>
              <w:rPr>
                <w:color w:val="000000"/>
                <w:lang w:eastAsia="en-US"/>
              </w:rPr>
              <w:t xml:space="preserve">Организация обучения, повышения квалификации работников из </w:t>
            </w:r>
            <w:r>
              <w:rPr>
                <w:color w:val="000000"/>
                <w:lang w:eastAsia="en-US"/>
              </w:rPr>
              <w:t xml:space="preserve">числа  работающих</w:t>
            </w:r>
            <w:r>
              <w:rPr>
                <w:color w:val="000000"/>
                <w:lang w:eastAsia="en-US"/>
              </w:rPr>
              <w:t xml:space="preserve"> ветеранов боевых действий за счет средств работодателя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10. </w:t>
            </w:r>
            <w:r>
              <w:rPr>
                <w:color w:val="000000"/>
                <w:lang w:eastAsia="en-US"/>
              </w:rPr>
              <w:t xml:space="preserve">Проведение мероприятий по интеграции работников из числа ветеранов боевых действий в коллектив работодателя, включая мероприятия по социальной и психологической адаптации в коллективе работодателя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</w:t>
            </w:r>
            <w:r>
              <w:rPr>
                <w:color w:val="000000"/>
                <w:lang w:eastAsia="en-US"/>
              </w:rPr>
              <w:t xml:space="preserve">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11. </w:t>
            </w:r>
            <w:r>
              <w:rPr>
                <w:color w:val="000000"/>
                <w:lang w:eastAsia="en-US"/>
              </w:rPr>
              <w:t xml:space="preserve">Проведение культурных, досуговых, спортивных и других мероприятий для членов семей работников, включая детей ветеранов боевых действий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color w:val="000000"/>
                <w:lang w:eastAsia="en-US"/>
              </w:rPr>
              <w:t xml:space="preserve">(прописать – указанные мероприятия проводятся, либо не проводятся)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color w:val="000000"/>
                <w:lang w:eastAsia="en-US"/>
              </w:rPr>
              <w:t xml:space="preserve">12. Сотрудничество работодателя </w:t>
            </w:r>
            <w:r>
              <w:rPr>
                <w:color w:val="000000"/>
                <w:lang w:eastAsia="en-US"/>
              </w:rPr>
              <w:t xml:space="preserve">с органами службы занятости в решении вопросов занятости населения</w:t>
            </w:r>
            <w:r/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t xml:space="preserve">(</w:t>
            </w:r>
            <w:r>
              <w:rPr>
                <w:color w:val="000000"/>
                <w:lang w:eastAsia="en-US"/>
              </w:rPr>
              <w:t xml:space="preserve">прописать – сотрудничество с органами службы занятости ведется, либо не ведется)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13. </w:t>
            </w:r>
            <w:r>
              <w:rPr>
                <w:color w:val="000000"/>
                <w:lang w:eastAsia="en-US"/>
              </w:rPr>
              <w:t xml:space="preserve">Сотрудничество работодателя с профсоюзной организацией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t xml:space="preserve">(</w:t>
            </w:r>
            <w:r>
              <w:rPr>
                <w:color w:val="000000"/>
                <w:lang w:eastAsia="en-US"/>
              </w:rPr>
              <w:t xml:space="preserve">прописать – сотрудничество </w:t>
            </w:r>
            <w:r>
              <w:rPr>
                <w:color w:val="000000"/>
                <w:lang w:eastAsia="en-US"/>
              </w:rPr>
              <w:t xml:space="preserve">с профсоюзной ор</w:t>
            </w:r>
            <w:r>
              <w:rPr>
                <w:color w:val="000000"/>
                <w:lang w:eastAsia="en-US"/>
              </w:rPr>
              <w:t xml:space="preserve">ганизаций</w:t>
            </w:r>
            <w:r>
              <w:rPr>
                <w:color w:val="000000"/>
                <w:lang w:eastAsia="en-US"/>
              </w:rPr>
              <w:t xml:space="preserve"> ведется, либо не ведется, в частности по причине отсутствии профсоюзной организации)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</w:rPr>
            </w:pPr>
            <w:r>
              <w:rPr>
                <w:rFonts w:eastAsia="Tahoma" w:cs="Droid Sans Devanagari"/>
                <w:lang w:eastAsia="en-US"/>
              </w:rPr>
              <w:t xml:space="preserve">14. Для </w:t>
            </w:r>
            <w:r>
              <w:rPr>
                <w:rFonts w:eastAsia="Tahoma"/>
                <w:color w:val="000000"/>
              </w:rPr>
              <w:t xml:space="preserve">организаций, находящихся в процессе реорганизации, ликвидации, банкротства, прекративших деятельность, имеющих задолженность по заработной плате:</w:t>
            </w:r>
            <w:r>
              <w:rPr>
                <w:color w:val="000000"/>
                <w:lang w:eastAsia="en-US"/>
              </w:rPr>
              <w:t xml:space="preserve"> в обязательном порядке сообщить об этом в данном пункте анкеты (в ином случае данный пункт не заполняется)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blPrEx/>
        <w:trPr>
          <w:trHeight w:val="276"/>
        </w:trPr>
        <w:tc>
          <w:tcPr>
            <w:tcW w:w="98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lang w:eastAsia="en-US"/>
              </w:rPr>
              <w:t xml:space="preserve">Для сведения участников: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  <w:lang w:eastAsia="en-US"/>
              </w:rPr>
            </w:pPr>
            <w:r>
              <w:rPr>
                <w:rFonts w:eastAsia="Tahoma" w:cs="Droid Sans Devanagari"/>
                <w:lang w:eastAsia="en-US"/>
              </w:rPr>
              <w:t xml:space="preserve">По пунктам 8–13 анкеты допускается направление дополнительной информации,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позволяющей оценить эффективность деятельности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 в сфере содействия занятости ветеранов боевых действий, включая фото-, видео-, документальные и иные материалы </w:t>
            </w:r>
            <w:r>
              <w:rPr>
                <w:rFonts w:eastAsia="Tahoma" w:cs="Droid Sans Devanagari"/>
                <w:color w:val="000000"/>
                <w:lang w:eastAsia="en-US"/>
              </w:rPr>
              <w:br/>
            </w:r>
            <w:r>
              <w:rPr>
                <w:rFonts w:eastAsia="Tahoma" w:cs="Droid Sans Devanagari"/>
                <w:color w:val="000000" w:themeColor="text1"/>
                <w:lang w:eastAsia="en-US"/>
              </w:rPr>
              <w:t xml:space="preserve">и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свидетельства. Дополнением к анкете участника конкурса также считаются: </w:t>
            </w:r>
            <w:r>
              <w:rPr>
                <w:rFonts w:eastAsia="Tahoma" w:cs="Droid Sans Devanagari"/>
                <w:color w:val="000000"/>
                <w:lang w:eastAsia="en-US"/>
              </w:rPr>
            </w:r>
            <w:r>
              <w:rPr>
                <w:rFonts w:eastAsia="Tahoma" w:cs="Droid Sans Devanagari"/>
                <w:color w:val="00000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  <w:lang w:eastAsia="en-US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1) презентация, размер которой не должен превышать 15 слайдов включа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я титульный слайд; </w:t>
            </w:r>
            <w:r>
              <w:rPr>
                <w:rFonts w:eastAsia="Tahoma" w:cs="Droid Sans Devanagari"/>
                <w:color w:val="000000"/>
                <w:lang w:eastAsia="en-US"/>
              </w:rPr>
            </w:r>
            <w:r>
              <w:rPr>
                <w:rFonts w:eastAsia="Tahoma" w:cs="Droid Sans Devanagari"/>
                <w:color w:val="00000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2) 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видеопрезентация</w:t>
            </w:r>
            <w:r>
              <w:rPr>
                <w:rFonts w:eastAsia="Tahoma" w:cs="Droid Sans Devanagari"/>
                <w:color w:val="000000"/>
                <w:lang w:eastAsia="en-US"/>
              </w:rPr>
              <w:t xml:space="preserve"> (видеоролик), хронометраж которого должен иметь продолжительность не менее двух минут, но не более десяти минут.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jc w:val="both"/>
              <w:widowControl w:val="off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color w:val="000000"/>
                <w:lang w:eastAsia="en-US"/>
              </w:rPr>
              <w:t xml:space="preserve">Указанные материалы будут также рассматриваться в рамках определения победителя конкурса.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p>
      <w:pPr>
        <w:ind w:right="1418"/>
        <w:jc w:val="both"/>
        <w:widowControl w:val="off"/>
        <w:rPr>
          <w:rFonts w:eastAsia="Tahoma" w:cs="Droid Sans Devanagari"/>
          <w:b/>
          <w:bCs/>
          <w:sz w:val="28"/>
          <w:szCs w:val="28"/>
          <w:lang w:eastAsia="en-US"/>
        </w:rPr>
      </w:pP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  <w:r>
        <w:rPr>
          <w:rFonts w:eastAsia="Tahoma" w:cs="Droid Sans Devanagari"/>
          <w:b/>
          <w:bCs/>
          <w:sz w:val="28"/>
          <w:szCs w:val="28"/>
          <w:lang w:eastAsia="en-US"/>
        </w:rPr>
      </w:r>
    </w:p>
    <w:p>
      <w:pPr>
        <w:ind w:left="0" w:firstLine="0"/>
        <w:jc w:val="both"/>
        <w:widowControl w:val="off"/>
        <w:rPr>
          <w:rFonts w:eastAsia="Tahoma" w:cs="Droid Sans Devanagari"/>
          <w:lang w:eastAsia="en-US"/>
        </w:rPr>
      </w:pP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  <w:r>
        <w:rPr>
          <w:rFonts w:eastAsia="Tahoma" w:cs="Droid Sans Devanagari"/>
          <w:lang w:eastAsia="en-US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</w:pPr>
    <w:r/>
    <w:r/>
  </w:p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rFonts w:eastAsia="Calibri"/>
      <w:sz w:val="24"/>
      <w:szCs w:val="24"/>
      <w:lang w:eastAsia="ru-RU"/>
    </w:rPr>
  </w:style>
  <w:style w:type="paragraph" w:styleId="695">
    <w:name w:val="Heading 1"/>
    <w:basedOn w:val="694"/>
    <w:next w:val="694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909"/>
    <w:qFormat/>
    <w:pPr>
      <w:ind w:right="-1"/>
      <w:jc w:val="center"/>
      <w:keepNext/>
      <w:outlineLvl w:val="4"/>
    </w:pPr>
    <w:rPr>
      <w:b/>
      <w:caps/>
      <w:sz w:val="28"/>
      <w:szCs w:val="20"/>
    </w:rPr>
  </w:style>
  <w:style w:type="paragraph" w:styleId="700">
    <w:name w:val="Heading 6"/>
    <w:basedOn w:val="694"/>
    <w:next w:val="694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Caption Char"/>
    <w:uiPriority w:val="99"/>
  </w:style>
  <w:style w:type="character" w:styleId="708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10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Subtitle Char"/>
    <w:basedOn w:val="704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table" w:styleId="719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6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7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link w:val="695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694"/>
    <w:uiPriority w:val="34"/>
    <w:qFormat/>
    <w:pPr>
      <w:contextualSpacing/>
      <w:ind w:left="720"/>
    </w:pPr>
  </w:style>
  <w:style w:type="paragraph" w:styleId="750">
    <w:name w:val="No Spacing"/>
    <w:uiPriority w:val="1"/>
    <w:qFormat/>
  </w:style>
  <w:style w:type="paragraph" w:styleId="751">
    <w:name w:val="Title"/>
    <w:basedOn w:val="694"/>
    <w:link w:val="910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styleId="752" w:customStyle="1">
    <w:name w:val="Title Char"/>
    <w:uiPriority w:val="10"/>
    <w:rPr>
      <w:sz w:val="48"/>
      <w:szCs w:val="48"/>
    </w:rPr>
  </w:style>
  <w:style w:type="paragraph" w:styleId="753">
    <w:name w:val="Subtitle"/>
    <w:basedOn w:val="694"/>
    <w:next w:val="694"/>
    <w:link w:val="754"/>
    <w:uiPriority w:val="11"/>
    <w:qFormat/>
    <w:pPr>
      <w:spacing w:before="200" w:after="200"/>
    </w:p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694"/>
    <w:next w:val="694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694"/>
    <w:next w:val="694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694"/>
    <w:link w:val="913"/>
    <w:uiPriority w:val="99"/>
    <w:pPr>
      <w:tabs>
        <w:tab w:val="center" w:pos="4677" w:leader="none"/>
        <w:tab w:val="right" w:pos="9355" w:leader="none"/>
      </w:tabs>
    </w:pPr>
  </w:style>
  <w:style w:type="character" w:styleId="760" w:customStyle="1">
    <w:name w:val="Header Char"/>
    <w:uiPriority w:val="99"/>
  </w:style>
  <w:style w:type="paragraph" w:styleId="761">
    <w:name w:val="Footer"/>
    <w:basedOn w:val="694"/>
    <w:link w:val="914"/>
    <w:pPr>
      <w:tabs>
        <w:tab w:val="center" w:pos="4677" w:leader="none"/>
        <w:tab w:val="right" w:pos="9355" w:leader="none"/>
      </w:tabs>
    </w:pPr>
  </w:style>
  <w:style w:type="character" w:styleId="762" w:customStyle="1">
    <w:name w:val="Footer Char"/>
    <w:uiPriority w:val="99"/>
  </w:style>
  <w:style w:type="paragraph" w:styleId="763">
    <w:name w:val="Caption"/>
    <w:basedOn w:val="694"/>
    <w:next w:val="694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Название объекта Знак"/>
    <w:link w:val="763"/>
    <w:uiPriority w:val="99"/>
  </w:style>
  <w:style w:type="table" w:styleId="76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694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694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694"/>
    <w:next w:val="694"/>
    <w:uiPriority w:val="39"/>
    <w:unhideWhenUsed/>
    <w:pPr>
      <w:spacing w:after="57"/>
    </w:pPr>
  </w:style>
  <w:style w:type="paragraph" w:styleId="89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90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90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90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90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90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90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90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694"/>
    <w:next w:val="694"/>
    <w:uiPriority w:val="99"/>
    <w:unhideWhenUsed/>
  </w:style>
  <w:style w:type="character" w:styleId="909" w:customStyle="1">
    <w:name w:val="Заголовок 5 Знак"/>
    <w:link w:val="699"/>
    <w:rPr>
      <w:rFonts w:eastAsia="Calibri"/>
      <w:b/>
      <w:caps/>
      <w:sz w:val="28"/>
      <w:lang w:val="ru-RU" w:eastAsia="ru-RU" w:bidi="ar-SA"/>
    </w:rPr>
  </w:style>
  <w:style w:type="character" w:styleId="910" w:customStyle="1">
    <w:name w:val="Название Знак"/>
    <w:link w:val="751"/>
    <w:rPr>
      <w:b/>
      <w:color w:val="000000"/>
      <w:spacing w:val="34"/>
      <w:sz w:val="36"/>
    </w:rPr>
  </w:style>
  <w:style w:type="paragraph" w:styleId="911">
    <w:name w:val="Balloon Text"/>
    <w:basedOn w:val="694"/>
    <w:link w:val="912"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link w:val="911"/>
    <w:rPr>
      <w:rFonts w:ascii="Tahoma" w:hAnsi="Tahoma" w:eastAsia="Calibri" w:cs="Tahoma"/>
      <w:sz w:val="16"/>
      <w:szCs w:val="16"/>
    </w:rPr>
  </w:style>
  <w:style w:type="character" w:styleId="913" w:customStyle="1">
    <w:name w:val="Верхний колонтитул Знак"/>
    <w:link w:val="759"/>
    <w:uiPriority w:val="99"/>
    <w:rPr>
      <w:rFonts w:eastAsia="Calibri"/>
      <w:sz w:val="24"/>
      <w:szCs w:val="24"/>
    </w:rPr>
  </w:style>
  <w:style w:type="character" w:styleId="914" w:customStyle="1">
    <w:name w:val="Нижний колонтитул Знак"/>
    <w:link w:val="761"/>
    <w:rPr>
      <w:rFonts w:eastAsia="Calibri"/>
      <w:sz w:val="24"/>
      <w:szCs w:val="24"/>
    </w:rPr>
  </w:style>
  <w:style w:type="paragraph" w:styleId="915" w:customStyle="1">
    <w:name w:val="Текст1"/>
    <w:basedOn w:val="700"/>
    <w:uiPriority w:val="99"/>
    <w:pPr>
      <w:keepLines w:val="0"/>
      <w:keepNext w:val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b w:val="0"/>
      <w:bCs w:val="0"/>
      <w:sz w:val="20"/>
      <w:szCs w:val="20"/>
    </w:rPr>
  </w:style>
  <w:style w:type="paragraph" w:styleId="916">
    <w:name w:val="annotation text"/>
    <w:basedOn w:val="694"/>
    <w:link w:val="917"/>
    <w:uiPriority w:val="99"/>
    <w:semiHidden/>
    <w:unhideWhenUsed/>
    <w:rPr>
      <w:sz w:val="20"/>
      <w:szCs w:val="20"/>
    </w:rPr>
  </w:style>
  <w:style w:type="character" w:styleId="917" w:customStyle="1">
    <w:name w:val="Текст примечания Знак"/>
    <w:basedOn w:val="704"/>
    <w:link w:val="916"/>
    <w:uiPriority w:val="99"/>
    <w:semiHidden/>
    <w:rPr>
      <w:rFonts w:eastAsia="Calibri"/>
      <w:lang w:eastAsia="ru-RU"/>
    </w:rPr>
  </w:style>
  <w:style w:type="character" w:styleId="918">
    <w:name w:val="annotation reference"/>
    <w:basedOn w:val="704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www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z16134</cp:lastModifiedBy>
  <cp:revision>34</cp:revision>
  <dcterms:created xsi:type="dcterms:W3CDTF">2024-05-02T08:20:00Z</dcterms:created>
  <dcterms:modified xsi:type="dcterms:W3CDTF">2025-10-15T11:51:30Z</dcterms:modified>
  <cp:version>1048576</cp:version>
</cp:coreProperties>
</file>