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АЗГЭ-НФ/26-2762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00300060126853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205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 Детенково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1 481,00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50:26:0080709:18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Земельный участок полностью расположен в границах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Воздушного кодекса Российской Федерации;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13.01.2026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239 131,14 руб. (Двести тридцать девять тысяч сто тридцать один руб. 14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7 173,93 руб. (Семь тысяч сто семьдесят три руб. 93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239 131,14 руб. (Двести тридцать девять тысяч сто тридцать один руб. 14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13.08.2026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17.08.2026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